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314BEF81"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INFORME N° PR</w:t>
      </w:r>
      <w:r w:rsidR="002A50E6" w:rsidRPr="00EE493C">
        <w:rPr>
          <w:rFonts w:ascii="Poppins" w:hAnsi="Poppins" w:cs="Poppins"/>
          <w:sz w:val="24"/>
          <w:szCs w:val="22"/>
          <w:u w:val="single"/>
          <w:lang w:val="es-PE"/>
        </w:rPr>
        <w:t>-</w:t>
      </w:r>
      <w:r w:rsidR="008E2585">
        <w:rPr>
          <w:rFonts w:ascii="Poppins" w:hAnsi="Poppins" w:cs="Poppins"/>
          <w:sz w:val="24"/>
          <w:szCs w:val="22"/>
          <w:u w:val="single"/>
          <w:lang w:val="es-PE"/>
        </w:rPr>
        <w:t>1</w:t>
      </w:r>
      <w:r w:rsidR="00FB11E1">
        <w:rPr>
          <w:rFonts w:ascii="Poppins" w:hAnsi="Poppins" w:cs="Poppins"/>
          <w:sz w:val="24"/>
          <w:szCs w:val="22"/>
          <w:u w:val="single"/>
          <w:lang w:val="es-PE"/>
        </w:rPr>
        <w:t>7</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4FC15EF4"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5857BE">
        <w:rPr>
          <w:rFonts w:ascii="Poppins" w:hAnsi="Poppins" w:cs="Poppins"/>
          <w:b/>
          <w:bCs/>
          <w:sz w:val="22"/>
          <w:szCs w:val="22"/>
        </w:rPr>
        <w:t>2</w:t>
      </w:r>
      <w:r w:rsidR="00FB11E1">
        <w:rPr>
          <w:rFonts w:ascii="Poppins" w:hAnsi="Poppins" w:cs="Poppins"/>
          <w:b/>
          <w:bCs/>
          <w:sz w:val="22"/>
          <w:szCs w:val="22"/>
        </w:rPr>
        <w:t>7</w:t>
      </w:r>
      <w:r w:rsidR="00316BFF">
        <w:rPr>
          <w:rFonts w:ascii="Poppins" w:hAnsi="Poppins" w:cs="Poppins"/>
          <w:b/>
          <w:bCs/>
          <w:sz w:val="22"/>
          <w:szCs w:val="22"/>
        </w:rPr>
        <w:t>/</w:t>
      </w:r>
      <w:r w:rsidR="005151B0">
        <w:rPr>
          <w:rFonts w:ascii="Poppins" w:hAnsi="Poppins" w:cs="Poppins"/>
          <w:b/>
          <w:bCs/>
          <w:sz w:val="22"/>
          <w:szCs w:val="22"/>
        </w:rPr>
        <w:t>0</w:t>
      </w:r>
      <w:r w:rsidR="005E1751">
        <w:rPr>
          <w:rFonts w:ascii="Poppins" w:hAnsi="Poppins" w:cs="Poppins"/>
          <w:b/>
          <w:bCs/>
          <w:sz w:val="22"/>
          <w:szCs w:val="22"/>
        </w:rPr>
        <w:t>4</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209DA711" w:rsidR="00AB06BA" w:rsidRPr="001C2FD3" w:rsidRDefault="00966A4A"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46FF55CD" wp14:editId="01CE7143">
            <wp:extent cx="5391091" cy="4031672"/>
            <wp:effectExtent l="0" t="0" r="635" b="698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7394" cy="4043864"/>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lastRenderedPageBreak/>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37797A69"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AB5F72">
        <w:rPr>
          <w:rFonts w:ascii="Poppins" w:hAnsi="Poppins" w:cs="Poppins"/>
          <w:sz w:val="18"/>
          <w:szCs w:val="18"/>
        </w:rPr>
        <w:t>95</w:t>
      </w:r>
      <w:r w:rsidR="00E23D92" w:rsidRPr="00273F37">
        <w:rPr>
          <w:rFonts w:ascii="Poppins" w:hAnsi="Poppins" w:cs="Poppins"/>
          <w:sz w:val="18"/>
          <w:szCs w:val="18"/>
        </w:rPr>
        <w:t>,</w:t>
      </w:r>
      <w:r w:rsidR="00AB5F72">
        <w:rPr>
          <w:rFonts w:ascii="Poppins" w:hAnsi="Poppins" w:cs="Poppins"/>
          <w:sz w:val="18"/>
          <w:szCs w:val="18"/>
        </w:rPr>
        <w:t>27</w:t>
      </w:r>
      <w:r w:rsidRPr="00273F37">
        <w:rPr>
          <w:rFonts w:ascii="Poppins" w:hAnsi="Poppins" w:cs="Poppins"/>
          <w:sz w:val="18"/>
          <w:szCs w:val="18"/>
        </w:rPr>
        <w:t xml:space="preserve"> US$/Bl, las gasolinas registraron un precio superior a </w:t>
      </w:r>
      <w:r w:rsidR="009E527C">
        <w:rPr>
          <w:rFonts w:ascii="Poppins" w:hAnsi="Poppins" w:cs="Poppins"/>
          <w:sz w:val="18"/>
          <w:szCs w:val="18"/>
        </w:rPr>
        <w:t>1</w:t>
      </w:r>
      <w:r w:rsidR="00AB5F72">
        <w:rPr>
          <w:rFonts w:ascii="Poppins" w:hAnsi="Poppins" w:cs="Poppins"/>
          <w:sz w:val="18"/>
          <w:szCs w:val="18"/>
        </w:rPr>
        <w:t>34</w:t>
      </w:r>
      <w:r w:rsidRPr="00273F37">
        <w:rPr>
          <w:rFonts w:ascii="Poppins" w:hAnsi="Poppins" w:cs="Poppins"/>
          <w:sz w:val="18"/>
          <w:szCs w:val="18"/>
        </w:rPr>
        <w:t xml:space="preserve"> US$/Bl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AB5F72">
        <w:rPr>
          <w:rFonts w:ascii="Poppins" w:hAnsi="Poppins" w:cs="Poppins"/>
          <w:sz w:val="18"/>
          <w:szCs w:val="18"/>
        </w:rPr>
        <w:t>60</w:t>
      </w:r>
      <w:r w:rsidRPr="00273F37">
        <w:rPr>
          <w:rFonts w:ascii="Poppins" w:hAnsi="Poppins" w:cs="Poppins"/>
          <w:sz w:val="18"/>
          <w:szCs w:val="18"/>
        </w:rPr>
        <w:t xml:space="preserve"> US$/Bl</w:t>
      </w:r>
      <w:r w:rsidR="00FE53EF" w:rsidRPr="00273F37">
        <w:rPr>
          <w:rFonts w:ascii="Poppins" w:hAnsi="Poppins" w:cs="Poppins"/>
          <w:sz w:val="18"/>
          <w:szCs w:val="18"/>
        </w:rPr>
        <w:t xml:space="preserve">. Para el mismo periodo, el precio del GLP cerró la semana en </w:t>
      </w:r>
      <w:r w:rsidR="00725618">
        <w:rPr>
          <w:rFonts w:ascii="Poppins" w:hAnsi="Poppins" w:cs="Poppins"/>
          <w:sz w:val="18"/>
          <w:szCs w:val="18"/>
        </w:rPr>
        <w:t>3</w:t>
      </w:r>
      <w:r w:rsidR="00AB5F72">
        <w:rPr>
          <w:rFonts w:ascii="Poppins" w:hAnsi="Poppins" w:cs="Poppins"/>
          <w:sz w:val="18"/>
          <w:szCs w:val="18"/>
        </w:rPr>
        <w:t>8</w:t>
      </w:r>
      <w:r w:rsidR="00941CD2" w:rsidRPr="00273F37">
        <w:rPr>
          <w:rFonts w:ascii="Poppins" w:hAnsi="Poppins" w:cs="Poppins"/>
          <w:sz w:val="18"/>
          <w:szCs w:val="18"/>
        </w:rPr>
        <w:t>,</w:t>
      </w:r>
      <w:r w:rsidR="00AB5F72">
        <w:rPr>
          <w:rFonts w:ascii="Poppins" w:hAnsi="Poppins" w:cs="Poppins"/>
          <w:sz w:val="18"/>
          <w:szCs w:val="18"/>
        </w:rPr>
        <w:t>33</w:t>
      </w:r>
      <w:r w:rsidR="00FE53EF" w:rsidRPr="00273F37">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237382DE" w14:textId="70A8739B"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4C17EC">
        <w:rPr>
          <w:rFonts w:ascii="Poppins" w:hAnsi="Poppins" w:cs="Poppins"/>
          <w:bCs/>
          <w:sz w:val="18"/>
          <w:szCs w:val="18"/>
        </w:rPr>
        <w:t>13</w:t>
      </w:r>
      <w:r w:rsidR="007D7CB0">
        <w:rPr>
          <w:rFonts w:ascii="Poppins" w:hAnsi="Poppins" w:cs="Poppins"/>
          <w:bCs/>
          <w:sz w:val="18"/>
          <w:szCs w:val="18"/>
        </w:rPr>
        <w:t>.</w:t>
      </w:r>
      <w:r w:rsidR="00B816EA">
        <w:rPr>
          <w:rFonts w:ascii="Poppins" w:hAnsi="Poppins" w:cs="Poppins"/>
          <w:bCs/>
          <w:sz w:val="18"/>
          <w:szCs w:val="18"/>
        </w:rPr>
        <w:t>0</w:t>
      </w:r>
      <w:r w:rsidR="005C3AAF">
        <w:rPr>
          <w:rFonts w:ascii="Poppins" w:hAnsi="Poppins" w:cs="Poppins"/>
          <w:bCs/>
          <w:sz w:val="18"/>
          <w:szCs w:val="18"/>
        </w:rPr>
        <w:t>4</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A936B1">
        <w:rPr>
          <w:rFonts w:ascii="Poppins" w:hAnsi="Poppins" w:cs="Poppins"/>
          <w:bCs/>
          <w:sz w:val="18"/>
          <w:szCs w:val="18"/>
        </w:rPr>
        <w:t xml:space="preserve"> </w:t>
      </w:r>
      <w:r w:rsidR="004C17EC">
        <w:rPr>
          <w:rFonts w:ascii="Poppins" w:hAnsi="Poppins" w:cs="Poppins"/>
          <w:bCs/>
          <w:sz w:val="18"/>
          <w:szCs w:val="18"/>
        </w:rPr>
        <w:t>24</w:t>
      </w:r>
      <w:r w:rsidR="005151B0">
        <w:rPr>
          <w:rFonts w:ascii="Poppins" w:hAnsi="Poppins" w:cs="Poppins"/>
          <w:bCs/>
          <w:sz w:val="18"/>
          <w:szCs w:val="18"/>
        </w:rPr>
        <w:t>.0</w:t>
      </w:r>
      <w:r w:rsidR="00A936B1">
        <w:rPr>
          <w:rFonts w:ascii="Poppins" w:hAnsi="Poppins" w:cs="Poppins"/>
          <w:bCs/>
          <w:sz w:val="18"/>
          <w:szCs w:val="18"/>
        </w:rPr>
        <w:t>4</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6C8010B5" w14:textId="77777777" w:rsidR="004C17EC" w:rsidRPr="005D618A" w:rsidRDefault="004C17EC" w:rsidP="004C17EC">
      <w:pPr>
        <w:pStyle w:val="Prrafodelista"/>
        <w:numPr>
          <w:ilvl w:val="0"/>
          <w:numId w:val="30"/>
        </w:numPr>
        <w:ind w:left="425"/>
        <w:contextualSpacing/>
        <w:jc w:val="both"/>
        <w:rPr>
          <w:rFonts w:ascii="Poppins" w:hAnsi="Poppins" w:cs="Poppins"/>
          <w:b/>
          <w:sz w:val="18"/>
          <w:szCs w:val="18"/>
        </w:rPr>
      </w:pPr>
      <w:r w:rsidRPr="005D618A">
        <w:rPr>
          <w:rFonts w:ascii="Poppins" w:hAnsi="Poppins" w:cs="Poppins"/>
          <w:b/>
          <w:sz w:val="18"/>
          <w:szCs w:val="18"/>
        </w:rPr>
        <w:t>El incremento de los inventarios de crudo y propano, así como el descenso de las existencias de gasolinas y destilado medio, al 17 de abril del 2026</w:t>
      </w:r>
    </w:p>
    <w:p w14:paraId="080DD027" w14:textId="77777777" w:rsidR="004C17EC" w:rsidRPr="005D618A" w:rsidRDefault="004C17EC" w:rsidP="004C17EC">
      <w:pPr>
        <w:shd w:val="clear" w:color="auto" w:fill="FFFFFF"/>
        <w:ind w:left="425"/>
        <w:jc w:val="both"/>
        <w:rPr>
          <w:rFonts w:ascii="Poppins" w:hAnsi="Poppins" w:cs="Poppins"/>
          <w:sz w:val="18"/>
          <w:szCs w:val="18"/>
        </w:rPr>
      </w:pPr>
    </w:p>
    <w:p w14:paraId="14F722B1" w14:textId="77777777" w:rsidR="004C17EC" w:rsidRPr="005D618A" w:rsidRDefault="004C17EC" w:rsidP="004C17EC">
      <w:pPr>
        <w:shd w:val="clear" w:color="auto" w:fill="FFFFFF"/>
        <w:ind w:left="425"/>
        <w:jc w:val="both"/>
        <w:rPr>
          <w:rFonts w:ascii="Poppins" w:hAnsi="Poppins" w:cs="Poppins"/>
          <w:sz w:val="18"/>
          <w:szCs w:val="18"/>
        </w:rPr>
      </w:pPr>
      <w:r w:rsidRPr="005D618A">
        <w:rPr>
          <w:rFonts w:ascii="Poppins" w:hAnsi="Poppins" w:cs="Poppins"/>
          <w:sz w:val="18"/>
          <w:szCs w:val="18"/>
        </w:rPr>
        <w:t>Los inventarios de petróleo de Estados Unidos se incrementaron en 1,9 millones de barriles alcanzando los 465,7 millones de barriles, ubicándose en un +3% por encima de la media de los últimos 5 años, para esta época del año.</w:t>
      </w:r>
    </w:p>
    <w:p w14:paraId="67FA8E74" w14:textId="77777777" w:rsidR="004C17EC" w:rsidRPr="005D618A" w:rsidRDefault="004C17EC" w:rsidP="004C17EC">
      <w:pPr>
        <w:shd w:val="clear" w:color="auto" w:fill="FFFFFF"/>
        <w:ind w:left="425"/>
        <w:jc w:val="both"/>
        <w:rPr>
          <w:rFonts w:ascii="Poppins" w:hAnsi="Poppins" w:cs="Poppins"/>
          <w:sz w:val="18"/>
          <w:szCs w:val="18"/>
        </w:rPr>
      </w:pPr>
    </w:p>
    <w:p w14:paraId="1237F426" w14:textId="77777777" w:rsidR="004C17EC" w:rsidRPr="005D618A" w:rsidRDefault="004C17EC" w:rsidP="004C17EC">
      <w:pPr>
        <w:shd w:val="clear" w:color="auto" w:fill="FFFFFF"/>
        <w:ind w:left="425"/>
        <w:jc w:val="both"/>
        <w:rPr>
          <w:rFonts w:ascii="Poppins" w:hAnsi="Poppins" w:cs="Poppins"/>
          <w:sz w:val="18"/>
          <w:szCs w:val="18"/>
        </w:rPr>
      </w:pPr>
      <w:r w:rsidRPr="005D618A">
        <w:rPr>
          <w:rFonts w:ascii="Poppins" w:hAnsi="Poppins" w:cs="Poppins"/>
          <w:sz w:val="18"/>
          <w:szCs w:val="18"/>
        </w:rPr>
        <w:t>Por su parte, las existencias de gasolinas disminuyeron en 4,6 millones de barriles, reportando un total de 228,4 millones de barriles. Asimismo, los inventarios de destilados, que incluyen al diésel y al combustible para calefacción decrecieron en 3,4 millones de barriles, ubicándose en 108,1 millones de barriles.</w:t>
      </w:r>
    </w:p>
    <w:p w14:paraId="079E20E3" w14:textId="77777777" w:rsidR="004C17EC" w:rsidRPr="005D618A" w:rsidRDefault="004C17EC" w:rsidP="004C17EC">
      <w:pPr>
        <w:shd w:val="clear" w:color="auto" w:fill="FFFFFF"/>
        <w:ind w:left="425"/>
        <w:jc w:val="both"/>
        <w:rPr>
          <w:rFonts w:ascii="Poppins" w:hAnsi="Poppins" w:cs="Poppins"/>
          <w:sz w:val="18"/>
          <w:szCs w:val="18"/>
        </w:rPr>
      </w:pPr>
    </w:p>
    <w:p w14:paraId="58605817" w14:textId="77777777" w:rsidR="004C17EC" w:rsidRPr="005D618A" w:rsidRDefault="004C17EC" w:rsidP="004C17EC">
      <w:pPr>
        <w:shd w:val="clear" w:color="auto" w:fill="FFFFFF"/>
        <w:ind w:left="425"/>
        <w:jc w:val="both"/>
        <w:rPr>
          <w:rFonts w:ascii="Poppins" w:hAnsi="Poppins" w:cs="Poppins"/>
          <w:sz w:val="18"/>
          <w:szCs w:val="18"/>
        </w:rPr>
      </w:pPr>
      <w:r w:rsidRPr="005D618A">
        <w:rPr>
          <w:rFonts w:ascii="Poppins" w:hAnsi="Poppins" w:cs="Poppins"/>
          <w:sz w:val="18"/>
          <w:szCs w:val="18"/>
        </w:rPr>
        <w:lastRenderedPageBreak/>
        <w:t>Finalmente, las existencias de propano aumentaron en 2,09 millones de barriles, registrando un nivel de 79,99 millones de barriles</w:t>
      </w:r>
      <w:r>
        <w:rPr>
          <w:rFonts w:ascii="Poppins" w:hAnsi="Poppins" w:cs="Poppins"/>
          <w:sz w:val="18"/>
          <w:szCs w:val="18"/>
        </w:rPr>
        <w:t>.</w:t>
      </w:r>
    </w:p>
    <w:p w14:paraId="032049F8" w14:textId="77777777" w:rsidR="004C17EC" w:rsidRPr="007654D3" w:rsidRDefault="004C17EC" w:rsidP="004C17EC">
      <w:pPr>
        <w:jc w:val="both"/>
        <w:rPr>
          <w:rFonts w:ascii="Poppins" w:hAnsi="Poppins" w:cs="Poppins"/>
          <w:b/>
          <w:sz w:val="18"/>
          <w:szCs w:val="18"/>
          <w:highlight w:val="yellow"/>
        </w:rPr>
      </w:pPr>
    </w:p>
    <w:p w14:paraId="08C259E2" w14:textId="77777777" w:rsidR="004C17EC" w:rsidRPr="008D085E" w:rsidRDefault="004C17EC" w:rsidP="004C17EC">
      <w:pPr>
        <w:pStyle w:val="Prrafodelista"/>
        <w:numPr>
          <w:ilvl w:val="0"/>
          <w:numId w:val="30"/>
        </w:numPr>
        <w:ind w:left="425"/>
        <w:contextualSpacing/>
        <w:jc w:val="both"/>
        <w:rPr>
          <w:rFonts w:ascii="Poppins" w:hAnsi="Poppins" w:cs="Poppins"/>
          <w:b/>
          <w:sz w:val="18"/>
          <w:szCs w:val="18"/>
        </w:rPr>
      </w:pPr>
      <w:r w:rsidRPr="008D085E">
        <w:rPr>
          <w:rFonts w:ascii="Poppins" w:hAnsi="Poppins" w:cs="Poppins"/>
          <w:b/>
          <w:sz w:val="18"/>
          <w:szCs w:val="18"/>
        </w:rPr>
        <w:t>EE.UU. e Irán pasaron del diálogo estancado a una confrontación abierta, y luego a una tregua frágil con presión y negociación aún en disputa</w:t>
      </w:r>
    </w:p>
    <w:p w14:paraId="22FEDBB8" w14:textId="77777777" w:rsidR="004C17EC" w:rsidRPr="008D085E" w:rsidRDefault="004C17EC" w:rsidP="004C17EC">
      <w:pPr>
        <w:jc w:val="both"/>
        <w:rPr>
          <w:rFonts w:ascii="Poppins" w:hAnsi="Poppins" w:cs="Poppins"/>
          <w:b/>
          <w:sz w:val="18"/>
          <w:szCs w:val="18"/>
        </w:rPr>
      </w:pPr>
    </w:p>
    <w:p w14:paraId="263FD72F" w14:textId="77777777" w:rsidR="004C17EC" w:rsidRPr="008D085E" w:rsidRDefault="004C17EC" w:rsidP="004C17EC">
      <w:pPr>
        <w:shd w:val="clear" w:color="auto" w:fill="FFFFFF"/>
        <w:ind w:left="425"/>
        <w:jc w:val="both"/>
        <w:rPr>
          <w:rFonts w:ascii="Poppins" w:hAnsi="Poppins" w:cs="Poppins"/>
          <w:sz w:val="18"/>
          <w:szCs w:val="18"/>
        </w:rPr>
      </w:pPr>
      <w:r w:rsidRPr="008D085E">
        <w:rPr>
          <w:rFonts w:ascii="Poppins" w:hAnsi="Poppins" w:cs="Poppins"/>
          <w:sz w:val="18"/>
          <w:szCs w:val="18"/>
        </w:rPr>
        <w:t xml:space="preserve">Durante las últimas semanas, el frente diplomático quedó claramente subordinado a la dinámica militar y conflicto abierto. Tras los contactos nucleares indirectos de Ginebra del 26 y 27 de febrero, que no produjeron avances, la ofensiva conjunta de EE.UU. e Israel iniciada el 28 de febrero rompió el frágil equilibrio previo y abrió una fase de confrontación abierta. En los días siguientes, Irán endureció su postura, el nuevo líder supremo Mojtaba Khamenei respaldó el cierre de Ormuz y Donald Trump elevó la presión con amenazas cada vez más directas, hasta pasar del lenguaje de advertencia a exigencias de </w:t>
      </w:r>
      <w:r w:rsidRPr="008D085E">
        <w:rPr>
          <w:rFonts w:ascii="Poppins" w:hAnsi="Poppins" w:cs="Poppins"/>
          <w:i/>
          <w:iCs/>
          <w:sz w:val="18"/>
          <w:szCs w:val="18"/>
        </w:rPr>
        <w:t>“rendición incondicional”</w:t>
      </w:r>
      <w:r w:rsidRPr="008D085E">
        <w:rPr>
          <w:rFonts w:ascii="Poppins" w:hAnsi="Poppins" w:cs="Poppins"/>
          <w:sz w:val="18"/>
          <w:szCs w:val="18"/>
        </w:rPr>
        <w:t>.</w:t>
      </w:r>
    </w:p>
    <w:p w14:paraId="7A2EFD40" w14:textId="77777777" w:rsidR="004C17EC" w:rsidRPr="008D085E" w:rsidRDefault="004C17EC" w:rsidP="004C17EC">
      <w:pPr>
        <w:shd w:val="clear" w:color="auto" w:fill="FFFFFF"/>
        <w:ind w:left="425"/>
        <w:jc w:val="both"/>
        <w:rPr>
          <w:rFonts w:ascii="Poppins" w:hAnsi="Poppins" w:cs="Poppins"/>
          <w:sz w:val="18"/>
          <w:szCs w:val="18"/>
        </w:rPr>
      </w:pPr>
    </w:p>
    <w:p w14:paraId="77B67A45" w14:textId="77777777" w:rsidR="004C17EC" w:rsidRPr="008D085E" w:rsidRDefault="004C17EC" w:rsidP="004C17EC">
      <w:pPr>
        <w:shd w:val="clear" w:color="auto" w:fill="FFFFFF"/>
        <w:ind w:left="425"/>
        <w:jc w:val="both"/>
        <w:rPr>
          <w:rFonts w:ascii="Poppins" w:hAnsi="Poppins" w:cs="Poppins"/>
          <w:sz w:val="18"/>
          <w:szCs w:val="18"/>
        </w:rPr>
      </w:pPr>
      <w:r w:rsidRPr="008D085E">
        <w:rPr>
          <w:rFonts w:ascii="Poppins" w:hAnsi="Poppins" w:cs="Poppins"/>
          <w:sz w:val="18"/>
          <w:szCs w:val="18"/>
        </w:rPr>
        <w:t>La escalada dio un salto importante el 13 de marzo, cuando Trump anunció ataques estadounidenses contra objetivos militares en Kharg, la isla que concentra cerca de 90% de las exportaciones petroleras de Irán. Se reportó que EE.UU. afirmó haber destruido blancos militares en la isla sin golpear directamente la infraestructura petrolera, aunque dejó explícita la amenaza de ampliar los ataques si Irán seguía interfiriendo en el Estrecho de Ormuz. Un día después, CENTCOM (Comando Central de EE.UU.) informó que las fuerzas estadounidenses habían atacado más de 90 objetivos militares en Kharg, manteniendo intactas las instalaciones petroleras. Aun así, la señal estratégica fue contundente, pues mostró que EE.UU. estaba dispuesto a escalar sobre el principal nodo exportador iraní para presionar un cambio en la postura.</w:t>
      </w:r>
    </w:p>
    <w:p w14:paraId="2E7D8E98" w14:textId="77777777" w:rsidR="004C17EC" w:rsidRPr="008D085E" w:rsidRDefault="004C17EC" w:rsidP="004C17EC">
      <w:pPr>
        <w:shd w:val="clear" w:color="auto" w:fill="FFFFFF"/>
        <w:ind w:left="425"/>
        <w:jc w:val="both"/>
        <w:rPr>
          <w:rFonts w:ascii="Poppins" w:hAnsi="Poppins" w:cs="Poppins"/>
          <w:sz w:val="18"/>
          <w:szCs w:val="18"/>
        </w:rPr>
      </w:pPr>
    </w:p>
    <w:p w14:paraId="21D43BDB" w14:textId="77777777" w:rsidR="004C17EC" w:rsidRPr="008D085E" w:rsidRDefault="004C17EC" w:rsidP="004C17EC">
      <w:pPr>
        <w:shd w:val="clear" w:color="auto" w:fill="FFFFFF"/>
        <w:ind w:left="425"/>
        <w:jc w:val="both"/>
        <w:rPr>
          <w:rFonts w:ascii="Poppins" w:hAnsi="Poppins" w:cs="Poppins"/>
          <w:sz w:val="18"/>
          <w:szCs w:val="18"/>
        </w:rPr>
      </w:pPr>
      <w:r w:rsidRPr="008D085E">
        <w:rPr>
          <w:rFonts w:ascii="Poppins" w:hAnsi="Poppins" w:cs="Poppins"/>
          <w:sz w:val="18"/>
          <w:szCs w:val="18"/>
        </w:rPr>
        <w:t xml:space="preserve">En la tercera semana de marzo, la confrontación se volvió todavía más volátil. La campaña de EE.UU. e Israel contra Irán siguió golpeando objetivos estratégicos, mientras Trump evaluaba incluso la posibilidad de ocupar o bloquear la isla de Kharg para forzar la reapertura del estrecho de Ormuz. En respuesta, Irán endureció sus advertencias y dejó entrever que cualquier escalada adicional sobre su litoral, sus islas o su infraestructura energética podía derivar en un cierre más agresivo del Golfo, incluido el eventual empleo de minas marinas. Así, con corte al 20 de marzo, la crisis ya había pasado a una dinámica de coerción mutua sin una salida diplomática clara. Con posterioridad, Trump anunció una prórroga de cinco días para ataques contra infraestructura energética iraní y habló de contactos </w:t>
      </w:r>
      <w:r w:rsidRPr="008D085E">
        <w:rPr>
          <w:rFonts w:ascii="Poppins" w:hAnsi="Poppins" w:cs="Poppins"/>
          <w:i/>
          <w:iCs/>
          <w:sz w:val="18"/>
          <w:szCs w:val="18"/>
        </w:rPr>
        <w:t xml:space="preserve">“productivos” </w:t>
      </w:r>
      <w:r w:rsidRPr="008D085E">
        <w:rPr>
          <w:rFonts w:ascii="Poppins" w:hAnsi="Poppins" w:cs="Poppins"/>
          <w:sz w:val="18"/>
          <w:szCs w:val="18"/>
        </w:rPr>
        <w:t>con Teherán, aunque Irán negó negociaciones formales.</w:t>
      </w:r>
    </w:p>
    <w:p w14:paraId="660903D8" w14:textId="77777777" w:rsidR="004C17EC" w:rsidRPr="008D085E" w:rsidRDefault="004C17EC" w:rsidP="004C17EC">
      <w:pPr>
        <w:shd w:val="clear" w:color="auto" w:fill="FFFFFF"/>
        <w:ind w:left="425"/>
        <w:jc w:val="both"/>
        <w:rPr>
          <w:rFonts w:ascii="Poppins" w:hAnsi="Poppins" w:cs="Poppins"/>
          <w:sz w:val="18"/>
          <w:szCs w:val="18"/>
        </w:rPr>
      </w:pPr>
    </w:p>
    <w:p w14:paraId="02E553A8" w14:textId="77777777" w:rsidR="004C17EC" w:rsidRPr="008D085E" w:rsidRDefault="004C17EC" w:rsidP="004C17EC">
      <w:pPr>
        <w:shd w:val="clear" w:color="auto" w:fill="FFFFFF"/>
        <w:ind w:left="425"/>
        <w:jc w:val="both"/>
        <w:rPr>
          <w:rFonts w:ascii="Poppins" w:hAnsi="Poppins" w:cs="Poppins"/>
          <w:sz w:val="18"/>
          <w:szCs w:val="18"/>
        </w:rPr>
      </w:pPr>
      <w:r w:rsidRPr="008D085E">
        <w:rPr>
          <w:rFonts w:ascii="Poppins" w:hAnsi="Poppins" w:cs="Poppins"/>
          <w:sz w:val="18"/>
          <w:szCs w:val="18"/>
        </w:rPr>
        <w:t xml:space="preserve">En la cuarta semana de marzo, la confrontación siguió siendo altamente volátil, aunque con una combinación más visible de coerción militar y pausas tácticas. El 23 de marzo, Trump anunció una pausa inicial en ataques contra plantas energéticas iraníes tras afirmar que existían conversaciones </w:t>
      </w:r>
      <w:r w:rsidRPr="008D085E">
        <w:rPr>
          <w:rFonts w:ascii="Poppins" w:hAnsi="Poppins" w:cs="Poppins"/>
          <w:i/>
          <w:iCs/>
          <w:sz w:val="18"/>
          <w:szCs w:val="18"/>
        </w:rPr>
        <w:t>“muy buenas”,</w:t>
      </w:r>
      <w:r w:rsidRPr="008D085E">
        <w:rPr>
          <w:rFonts w:ascii="Poppins" w:hAnsi="Poppins" w:cs="Poppins"/>
          <w:sz w:val="18"/>
          <w:szCs w:val="18"/>
        </w:rPr>
        <w:t xml:space="preserve"> lo que provocó una fuerte corrección del mercado; sin embargo, Irán negó contactos formales y el alivio fue efímero. Luego, el 26 de marzo, EE.UU. amplió esa pausa por 10 días, hasta el 6 de abril, insistiendo en que las conversaciones avanzaban, aunque Teherán calificó la propuesta estadounidense como sesgada e injusta.</w:t>
      </w:r>
    </w:p>
    <w:p w14:paraId="32C713DF" w14:textId="77777777" w:rsidR="004C17EC" w:rsidRPr="008D085E" w:rsidRDefault="004C17EC" w:rsidP="004C17EC">
      <w:pPr>
        <w:shd w:val="clear" w:color="auto" w:fill="FFFFFF"/>
        <w:ind w:left="425"/>
        <w:jc w:val="both"/>
        <w:rPr>
          <w:rFonts w:ascii="Poppins" w:hAnsi="Poppins" w:cs="Poppins"/>
          <w:sz w:val="18"/>
          <w:szCs w:val="18"/>
        </w:rPr>
      </w:pPr>
    </w:p>
    <w:p w14:paraId="1A522291" w14:textId="77777777" w:rsidR="004C17EC" w:rsidRPr="008D085E" w:rsidRDefault="004C17EC" w:rsidP="004C17EC">
      <w:pPr>
        <w:shd w:val="clear" w:color="auto" w:fill="FFFFFF"/>
        <w:ind w:left="425"/>
        <w:jc w:val="both"/>
        <w:rPr>
          <w:rFonts w:ascii="Poppins" w:hAnsi="Poppins" w:cs="Poppins"/>
          <w:sz w:val="18"/>
          <w:szCs w:val="18"/>
        </w:rPr>
      </w:pPr>
      <w:r w:rsidRPr="008D085E">
        <w:rPr>
          <w:rFonts w:ascii="Poppins" w:hAnsi="Poppins" w:cs="Poppins"/>
          <w:sz w:val="18"/>
          <w:szCs w:val="18"/>
        </w:rPr>
        <w:t xml:space="preserve">Ya en la semana del 30 de marzo, la crisis entró en una fase todavía más delicada, porque el mercado dejó de reaccionar a las señales verbales de Trump y pasó a asumir que la guerra podía prolongarse. Por primera vez en varias semanas, el presidente estadounidense perdió capacidad para calmar al mercado, mientras la continuidad de las amenazas </w:t>
      </w:r>
      <w:r w:rsidRPr="008D085E">
        <w:rPr>
          <w:rFonts w:ascii="Poppins" w:hAnsi="Poppins" w:cs="Poppins"/>
          <w:sz w:val="18"/>
          <w:szCs w:val="18"/>
        </w:rPr>
        <w:lastRenderedPageBreak/>
        <w:t>contra Irán, la falta de avances diplomáticos verificables y la persistencia del riesgo sobre el estrecho de Ormuz reforzaron la percepción de una confrontación de mayor duración. En ese contexto, el crudo volvió a dispararse, la volatilidad se intensificó y el mercado empezó a considerar que ya no enfrentaba una perturbación transitoria, sino una crisis con capacidad real de extenderse en el tiempo y seguir alterando el equilibrio energético mundial.</w:t>
      </w:r>
    </w:p>
    <w:p w14:paraId="5C04C2E8" w14:textId="77777777" w:rsidR="004C17EC" w:rsidRPr="008D085E" w:rsidRDefault="004C17EC" w:rsidP="004C17EC">
      <w:pPr>
        <w:shd w:val="clear" w:color="auto" w:fill="FFFFFF"/>
        <w:ind w:left="425"/>
        <w:jc w:val="both"/>
        <w:rPr>
          <w:rFonts w:ascii="Poppins" w:hAnsi="Poppins" w:cs="Poppins"/>
          <w:sz w:val="18"/>
          <w:szCs w:val="18"/>
        </w:rPr>
      </w:pPr>
    </w:p>
    <w:p w14:paraId="3DB61AE5" w14:textId="77777777" w:rsidR="004C17EC" w:rsidRPr="008D085E" w:rsidRDefault="004C17EC" w:rsidP="004C17EC">
      <w:pPr>
        <w:shd w:val="clear" w:color="auto" w:fill="FFFFFF"/>
        <w:ind w:left="425"/>
        <w:jc w:val="both"/>
        <w:rPr>
          <w:rFonts w:ascii="Poppins" w:hAnsi="Poppins" w:cs="Poppins"/>
          <w:sz w:val="18"/>
          <w:szCs w:val="18"/>
        </w:rPr>
      </w:pPr>
      <w:r w:rsidRPr="008D085E">
        <w:rPr>
          <w:rFonts w:ascii="Poppins" w:hAnsi="Poppins" w:cs="Poppins"/>
          <w:sz w:val="18"/>
          <w:szCs w:val="18"/>
        </w:rPr>
        <w:t>Hacia fines de esa misma semana e inicios de abril, comenzaron a tomar forma nuevos intentos de alto el fuego impulsado por mediadores regionales, en particular Pakistán, que promovió un esquema de cese inmediato de hostilidades y una etapa posterior de negociación más amplia. Aunque Irán rechazó una tregua meramente temporal y exigió un arreglo más integral, esos contactos desembocaron días después en una tregua temporal entre EE.UU. e Irán, que provocó una fuerte corrección a la baja del precio de crudo entre el 8 y el 10 de abril; no obstante, el alivio fue incompleto, pues la reapertura operativa del sistema energético regional siguió siendo incierta y, aun después del anuncio, cerca de 187 tanqueros permanecían dentro del Golfo con unos 172 millones de barriles de crudo y refinados pendientes de evacuación.</w:t>
      </w:r>
    </w:p>
    <w:p w14:paraId="0E328A27" w14:textId="77777777" w:rsidR="004C17EC" w:rsidRPr="008D085E" w:rsidRDefault="004C17EC" w:rsidP="004C17EC">
      <w:pPr>
        <w:shd w:val="clear" w:color="auto" w:fill="FFFFFF"/>
        <w:ind w:left="425"/>
        <w:jc w:val="both"/>
        <w:rPr>
          <w:rFonts w:ascii="Poppins" w:hAnsi="Poppins" w:cs="Poppins"/>
          <w:sz w:val="18"/>
          <w:szCs w:val="18"/>
        </w:rPr>
      </w:pPr>
    </w:p>
    <w:p w14:paraId="43EAAE2B" w14:textId="77777777" w:rsidR="004C17EC" w:rsidRPr="008D085E" w:rsidRDefault="004C17EC" w:rsidP="004C17EC">
      <w:pPr>
        <w:shd w:val="clear" w:color="auto" w:fill="FFFFFF"/>
        <w:ind w:left="425"/>
        <w:jc w:val="both"/>
        <w:rPr>
          <w:rFonts w:ascii="Poppins" w:hAnsi="Poppins" w:cs="Poppins"/>
          <w:sz w:val="18"/>
          <w:szCs w:val="18"/>
        </w:rPr>
      </w:pPr>
      <w:r w:rsidRPr="008D085E">
        <w:rPr>
          <w:rFonts w:ascii="Poppins" w:hAnsi="Poppins" w:cs="Poppins"/>
          <w:sz w:val="18"/>
          <w:szCs w:val="18"/>
        </w:rPr>
        <w:t>Entre el 11 y 12 de abril, el proceso entró en una fase más compleja. EE.UU. e Irán sostuvieron en Islamabad la ronda más importante de conversaciones de alto nivel en décadas, pero el encuentro terminó sin acuerdo, pese a largas horas de negociación. Reuters informó que ambas partes dejaron abierta la puerta al diálogo, aunque persistieron desacuerdos profundos sobre el programa nuclear iraní, el alivio de sanciones y la seguridad marítima en el Golfo. Ese resultado dejó claro que la tregua había frenado momentáneamente la escalada, pero no había resuelto ninguno de los nudos estratégicos del conflicto.</w:t>
      </w:r>
    </w:p>
    <w:p w14:paraId="1D2883B6" w14:textId="77777777" w:rsidR="004C17EC" w:rsidRPr="008D085E" w:rsidRDefault="004C17EC" w:rsidP="004C17EC">
      <w:pPr>
        <w:shd w:val="clear" w:color="auto" w:fill="FFFFFF"/>
        <w:ind w:left="425"/>
        <w:jc w:val="both"/>
        <w:rPr>
          <w:rFonts w:ascii="Poppins" w:hAnsi="Poppins" w:cs="Poppins"/>
          <w:sz w:val="18"/>
          <w:szCs w:val="18"/>
        </w:rPr>
      </w:pPr>
    </w:p>
    <w:p w14:paraId="365199A9" w14:textId="77777777" w:rsidR="004C17EC" w:rsidRPr="008D085E" w:rsidRDefault="004C17EC" w:rsidP="004C17EC">
      <w:pPr>
        <w:shd w:val="clear" w:color="auto" w:fill="FFFFFF"/>
        <w:ind w:left="425"/>
        <w:jc w:val="both"/>
        <w:rPr>
          <w:rFonts w:ascii="Poppins" w:hAnsi="Poppins" w:cs="Poppins"/>
          <w:sz w:val="18"/>
          <w:szCs w:val="18"/>
        </w:rPr>
      </w:pPr>
      <w:r w:rsidRPr="008D085E">
        <w:rPr>
          <w:rFonts w:ascii="Poppins" w:hAnsi="Poppins" w:cs="Poppins"/>
          <w:sz w:val="18"/>
          <w:szCs w:val="18"/>
        </w:rPr>
        <w:t>A partir del 14 de abril, el conflicto entró en una fase especialmente delicada y ambigua. Por un lado, EE.UU. mantuvo la presión marítima y económica; por otro, empezaron a surgir nuevas señales de que podía reanudarse la negociación con mediación pakistaní. Luego, el 17 de abril, Irán anunció la reapertura temporal del Estrecho de Ormuz, decisión que reavivó las expectativas de conversaciones y provocó una nueva corrección a la baja del precio del petróleo. Sin embargo, Irán advirtió que podía volver a cerrar el paso si continuaba el bloqueo estadounidense sobre sus puertos, de modo que el alivio fue interpretado más como una tregua táctica que como una normalización real del sistema energético regional.</w:t>
      </w:r>
    </w:p>
    <w:p w14:paraId="7380B93D" w14:textId="77777777" w:rsidR="004C17EC" w:rsidRPr="008D085E" w:rsidRDefault="004C17EC" w:rsidP="004C17EC">
      <w:pPr>
        <w:shd w:val="clear" w:color="auto" w:fill="FFFFFF"/>
        <w:ind w:left="425"/>
        <w:jc w:val="both"/>
        <w:rPr>
          <w:rFonts w:ascii="Poppins" w:hAnsi="Poppins" w:cs="Poppins"/>
          <w:sz w:val="18"/>
          <w:szCs w:val="18"/>
        </w:rPr>
      </w:pPr>
    </w:p>
    <w:p w14:paraId="2C4F58FD" w14:textId="77777777" w:rsidR="004C17EC" w:rsidRPr="008D085E" w:rsidRDefault="004C17EC" w:rsidP="004C17EC">
      <w:pPr>
        <w:shd w:val="clear" w:color="auto" w:fill="FFFFFF"/>
        <w:ind w:left="425"/>
        <w:jc w:val="both"/>
        <w:rPr>
          <w:rFonts w:ascii="Poppins" w:hAnsi="Poppins" w:cs="Poppins"/>
          <w:sz w:val="18"/>
          <w:szCs w:val="18"/>
        </w:rPr>
      </w:pPr>
      <w:r w:rsidRPr="008D085E">
        <w:rPr>
          <w:rFonts w:ascii="Poppins" w:hAnsi="Poppins" w:cs="Poppins"/>
          <w:sz w:val="18"/>
          <w:szCs w:val="18"/>
        </w:rPr>
        <w:t>Entre el 20 y el 26 de abril, la tregua volvió a evidenciar su fragilidad. Aunque EE.UU. e Irán mantuvieron abierta la posibilidad de nuevas conversaciones, el proceso quedó trabado por la falta de un acuerdo operativo sobre el Estrecho de Ormuz y por la interdicción (bloqueo/interceptación) naval estadounidense contra buques vinculados a puertos iraníes. El 24 de abril, Trump señaló que Irán preparaba una oferta para atender demandas estadounidenses, pero el 25 de abril canceló el viaje de sus enviados a Pakistán, mientras el canciller iraní dejó la ciudad de Islamabad sin reunirse directamente con delegados de EE.UU. En paralelo, Ormuz siguió severamente restringido y la amenaza iraní de extender la presión hacia Bab el-Mandeb elevó el riesgo de una disrupción marítima más amplia.</w:t>
      </w:r>
    </w:p>
    <w:p w14:paraId="7B15B740" w14:textId="77777777" w:rsidR="004C17EC" w:rsidRPr="008D085E" w:rsidRDefault="004C17EC" w:rsidP="004C17EC">
      <w:pPr>
        <w:shd w:val="clear" w:color="auto" w:fill="FFFFFF"/>
        <w:ind w:left="425"/>
        <w:jc w:val="both"/>
        <w:rPr>
          <w:rFonts w:ascii="Poppins" w:hAnsi="Poppins" w:cs="Poppins"/>
          <w:sz w:val="18"/>
          <w:szCs w:val="18"/>
        </w:rPr>
      </w:pPr>
    </w:p>
    <w:p w14:paraId="0B240E2F" w14:textId="77777777" w:rsidR="004C17EC" w:rsidRPr="008D085E" w:rsidRDefault="004C17EC" w:rsidP="004C17EC">
      <w:pPr>
        <w:shd w:val="clear" w:color="auto" w:fill="FFFFFF"/>
        <w:ind w:left="425"/>
        <w:jc w:val="both"/>
        <w:rPr>
          <w:rFonts w:ascii="Poppins" w:hAnsi="Poppins" w:cs="Poppins"/>
          <w:sz w:val="18"/>
          <w:szCs w:val="18"/>
        </w:rPr>
      </w:pPr>
      <w:r w:rsidRPr="008D085E">
        <w:rPr>
          <w:rFonts w:ascii="Poppins" w:hAnsi="Poppins" w:cs="Poppins"/>
          <w:sz w:val="18"/>
          <w:szCs w:val="18"/>
        </w:rPr>
        <w:t xml:space="preserve">Así, el conflicto entre EE. UU. e Irán ha pasado de un diálogo estancado a una confrontación abierta, luego a una tregua frágil y, más recientemente, a una negociación bloqueada por el control operativo de las rutas marítimas. Al 26 de abril, no existía una desescalada </w:t>
      </w:r>
      <w:r w:rsidRPr="008D085E">
        <w:rPr>
          <w:rFonts w:ascii="Poppins" w:hAnsi="Poppins" w:cs="Poppins"/>
          <w:sz w:val="18"/>
          <w:szCs w:val="18"/>
        </w:rPr>
        <w:lastRenderedPageBreak/>
        <w:t>ordenada, en tanto que, EE.UU. buscaba la reapertura plena de Ormuz y garantías de tránsito, mientras Irán condicionaba la normalización marítima al levantamiento de la presión naval estadounidense. En consecuencia, el mercado no solo evaluaba la posibilidad de un acuerdo diplomático, sino la capacidad real de restablecer flujos seguros, continuos y verificables</w:t>
      </w:r>
      <w:r>
        <w:rPr>
          <w:rFonts w:ascii="Poppins" w:hAnsi="Poppins" w:cs="Poppins"/>
          <w:sz w:val="18"/>
          <w:szCs w:val="18"/>
        </w:rPr>
        <w:t>.</w:t>
      </w:r>
    </w:p>
    <w:p w14:paraId="0140E557" w14:textId="77777777" w:rsidR="004C17EC" w:rsidRPr="007654D3" w:rsidRDefault="004C17EC" w:rsidP="004C17EC">
      <w:pPr>
        <w:shd w:val="clear" w:color="auto" w:fill="FFFFFF"/>
        <w:ind w:left="425"/>
        <w:jc w:val="both"/>
        <w:rPr>
          <w:rFonts w:ascii="Poppins" w:hAnsi="Poppins" w:cs="Poppins"/>
          <w:sz w:val="18"/>
          <w:szCs w:val="18"/>
          <w:highlight w:val="yellow"/>
        </w:rPr>
      </w:pPr>
    </w:p>
    <w:p w14:paraId="31AAD9ED" w14:textId="77777777" w:rsidR="004C17EC" w:rsidRPr="00436152" w:rsidRDefault="004C17EC" w:rsidP="004C17EC">
      <w:pPr>
        <w:pStyle w:val="Prrafodelista"/>
        <w:numPr>
          <w:ilvl w:val="0"/>
          <w:numId w:val="30"/>
        </w:numPr>
        <w:ind w:left="425"/>
        <w:contextualSpacing/>
        <w:jc w:val="both"/>
        <w:rPr>
          <w:rFonts w:ascii="Poppins" w:hAnsi="Poppins" w:cs="Poppins"/>
          <w:b/>
          <w:sz w:val="18"/>
          <w:szCs w:val="18"/>
        </w:rPr>
      </w:pPr>
      <w:r w:rsidRPr="00436152">
        <w:rPr>
          <w:rFonts w:ascii="Poppins" w:hAnsi="Poppins" w:cs="Poppins"/>
          <w:b/>
          <w:sz w:val="18"/>
          <w:szCs w:val="18"/>
        </w:rPr>
        <w:t>Ucrania atacó los puertos rusos de Ust-Luga y Primorsk, y en la última semana extendió la disrupción hacia Novorossiysk y Tuapse</w:t>
      </w:r>
    </w:p>
    <w:p w14:paraId="02773018" w14:textId="77777777" w:rsidR="004C17EC" w:rsidRPr="00436152" w:rsidRDefault="004C17EC" w:rsidP="004C17EC">
      <w:pPr>
        <w:shd w:val="clear" w:color="auto" w:fill="FFFFFF"/>
        <w:ind w:left="425"/>
        <w:jc w:val="both"/>
        <w:rPr>
          <w:rFonts w:ascii="Poppins" w:hAnsi="Poppins" w:cs="Poppins"/>
          <w:sz w:val="18"/>
          <w:szCs w:val="18"/>
        </w:rPr>
      </w:pPr>
    </w:p>
    <w:p w14:paraId="317CC347" w14:textId="77777777" w:rsidR="004C17EC" w:rsidRPr="00436152" w:rsidRDefault="004C17EC" w:rsidP="004C17EC">
      <w:pPr>
        <w:shd w:val="clear" w:color="auto" w:fill="FFFFFF"/>
        <w:ind w:left="425"/>
        <w:jc w:val="both"/>
        <w:rPr>
          <w:rFonts w:ascii="Poppins" w:hAnsi="Poppins" w:cs="Poppins"/>
          <w:sz w:val="18"/>
          <w:szCs w:val="18"/>
        </w:rPr>
      </w:pPr>
      <w:r w:rsidRPr="00436152">
        <w:rPr>
          <w:rFonts w:ascii="Poppins" w:hAnsi="Poppins" w:cs="Poppins"/>
          <w:sz w:val="18"/>
          <w:szCs w:val="18"/>
        </w:rPr>
        <w:t>A fines de marzo, Ust-Luga y Primorsk, los dos principales terminales petroleros rusos en el Báltico, suspendieron cargas tras ataques con drones que agencias internacionales calificaron entre los más severos de la guerra contra infraestructura petrolera rusa. El golpe fue especialmente sensible porque ambos puertos concentran una fracción crítica de las exportaciones rusas de crudo y combustibles, por lo que la interrupción elevó de inmediato el riesgo sobre la continuidad y estabilidad de los flujos marítimos del país.</w:t>
      </w:r>
    </w:p>
    <w:p w14:paraId="1A5C3F9F" w14:textId="77777777" w:rsidR="004C17EC" w:rsidRPr="00436152" w:rsidRDefault="004C17EC" w:rsidP="004C17EC">
      <w:pPr>
        <w:shd w:val="clear" w:color="auto" w:fill="FFFFFF"/>
        <w:ind w:left="425"/>
        <w:jc w:val="both"/>
        <w:rPr>
          <w:rFonts w:ascii="Poppins" w:hAnsi="Poppins" w:cs="Poppins"/>
          <w:sz w:val="18"/>
          <w:szCs w:val="18"/>
        </w:rPr>
      </w:pPr>
    </w:p>
    <w:p w14:paraId="600167CD" w14:textId="77777777" w:rsidR="004C17EC" w:rsidRPr="00436152" w:rsidRDefault="004C17EC" w:rsidP="004C17EC">
      <w:pPr>
        <w:shd w:val="clear" w:color="auto" w:fill="FFFFFF"/>
        <w:ind w:left="425"/>
        <w:jc w:val="both"/>
        <w:rPr>
          <w:rFonts w:ascii="Poppins" w:hAnsi="Poppins" w:cs="Poppins"/>
          <w:sz w:val="18"/>
          <w:szCs w:val="18"/>
        </w:rPr>
      </w:pPr>
      <w:r w:rsidRPr="00436152">
        <w:rPr>
          <w:rFonts w:ascii="Poppins" w:hAnsi="Poppins" w:cs="Poppins"/>
          <w:sz w:val="18"/>
          <w:szCs w:val="18"/>
        </w:rPr>
        <w:t>El impacto no quedó limitado a una paralización puntual. En los días siguientes, Reuters informó que Primorsk reanudó operaciones, pero con capacidad reducida por daños en infraestructura, mientras imágenes satelitales mostraron que había perdido cerca de 40% de su capacidad de almacenamiento, con ocho tanques de 50 000 m³ afectados. En Ust-Luga, otros ocho tanques de 30 000 m³ quedaron dañados, equivalentes a alrededor de 25% de su capacidad de almacenamiento de productos. Así, la presión dejó de ser solo operativa y pasó a reflejar una afectación física más duradera sobre el sistema exportador ruso.</w:t>
      </w:r>
    </w:p>
    <w:p w14:paraId="30F80C09" w14:textId="77777777" w:rsidR="004C17EC" w:rsidRPr="00436152" w:rsidRDefault="004C17EC" w:rsidP="004C17EC">
      <w:pPr>
        <w:shd w:val="clear" w:color="auto" w:fill="FFFFFF"/>
        <w:ind w:left="425"/>
        <w:jc w:val="both"/>
        <w:rPr>
          <w:rFonts w:ascii="Poppins" w:hAnsi="Poppins" w:cs="Poppins"/>
          <w:sz w:val="18"/>
          <w:szCs w:val="18"/>
        </w:rPr>
      </w:pPr>
    </w:p>
    <w:p w14:paraId="36F28E49" w14:textId="77777777" w:rsidR="004C17EC" w:rsidRPr="00436152" w:rsidRDefault="004C17EC" w:rsidP="004C17EC">
      <w:pPr>
        <w:shd w:val="clear" w:color="auto" w:fill="FFFFFF"/>
        <w:ind w:left="425"/>
        <w:jc w:val="both"/>
        <w:rPr>
          <w:rFonts w:ascii="Poppins" w:hAnsi="Poppins" w:cs="Poppins"/>
          <w:sz w:val="18"/>
          <w:szCs w:val="18"/>
        </w:rPr>
      </w:pPr>
      <w:r w:rsidRPr="00436152">
        <w:rPr>
          <w:rFonts w:ascii="Poppins" w:hAnsi="Poppins" w:cs="Poppins"/>
          <w:sz w:val="18"/>
          <w:szCs w:val="18"/>
        </w:rPr>
        <w:t>La disrupción luego se extendió al Mar Negro. El 7 de abril, el terminal Sheskharis de Novorossiysk suspendió parcialmente sus cargas tras un ataque con drones, afectando otro de los principales corredores de salida del crudo ruso. Aunque el 10 de abril comenzaron a reanudarse algunas operaciones, el alivio fue transitorio, pues el 13 de abril Reuters volvió a reportar daños severos en el mismo nodo, con paralización de dos de sus principales atraques, desvío de crudo hacia Tuapse y afectación sobre un puerto que maneja alrededor de 14% de las exportaciones rusas de crudo. La última semana, la presión volvió a ampliarse precisamente sobre Tuapse, donde un nuevo ataque ucraniano dañó infraestructura de transporte del puerto días después de otro ataque previo del 16 de abril; además, Reuters señaló que la refinería local de Rosneft, con capacidad de unos 240 mil bpd, había detenido operaciones. En ese contexto, el mercado pasó a interpretar los ataques ucranianos no como episodios aislados, sino como una amenaza sostenida y cada vez más diversificada sobre la estabilidad exportadora rusa en el Mar Negro.</w:t>
      </w:r>
    </w:p>
    <w:p w14:paraId="12495845" w14:textId="77777777" w:rsidR="004C17EC" w:rsidRPr="007654D3" w:rsidRDefault="004C17EC" w:rsidP="004C17EC">
      <w:pPr>
        <w:shd w:val="clear" w:color="auto" w:fill="FFFFFF"/>
        <w:ind w:left="425"/>
        <w:jc w:val="both"/>
        <w:rPr>
          <w:rFonts w:ascii="Poppins" w:hAnsi="Poppins" w:cs="Poppins"/>
          <w:sz w:val="18"/>
          <w:szCs w:val="18"/>
          <w:highlight w:val="yellow"/>
        </w:rPr>
      </w:pPr>
    </w:p>
    <w:p w14:paraId="22CC0910" w14:textId="77777777" w:rsidR="004C17EC" w:rsidRPr="00D13420" w:rsidRDefault="004C17EC" w:rsidP="004C17EC">
      <w:pPr>
        <w:pStyle w:val="Prrafodelista"/>
        <w:numPr>
          <w:ilvl w:val="0"/>
          <w:numId w:val="30"/>
        </w:numPr>
        <w:ind w:left="425"/>
        <w:contextualSpacing/>
        <w:jc w:val="both"/>
        <w:rPr>
          <w:rFonts w:ascii="Poppins" w:hAnsi="Poppins" w:cs="Poppins"/>
          <w:b/>
          <w:sz w:val="18"/>
          <w:szCs w:val="18"/>
        </w:rPr>
      </w:pPr>
      <w:r w:rsidRPr="00D13420">
        <w:rPr>
          <w:rFonts w:ascii="Poppins" w:hAnsi="Poppins" w:cs="Poppins"/>
          <w:b/>
          <w:sz w:val="18"/>
          <w:szCs w:val="18"/>
        </w:rPr>
        <w:t>EE.UU. y Japón liberaron más reservas estratégicas para contener el alza del crudo</w:t>
      </w:r>
    </w:p>
    <w:p w14:paraId="088474EC" w14:textId="77777777" w:rsidR="004C17EC" w:rsidRPr="00D13420" w:rsidRDefault="004C17EC" w:rsidP="004C17EC">
      <w:pPr>
        <w:shd w:val="clear" w:color="auto" w:fill="FFFFFF"/>
        <w:ind w:left="425"/>
        <w:jc w:val="both"/>
        <w:rPr>
          <w:rFonts w:ascii="Poppins" w:hAnsi="Poppins" w:cs="Poppins"/>
          <w:sz w:val="18"/>
          <w:szCs w:val="18"/>
        </w:rPr>
      </w:pPr>
    </w:p>
    <w:p w14:paraId="5C86277F" w14:textId="77777777" w:rsidR="004C17EC" w:rsidRPr="00D13420" w:rsidRDefault="004C17EC" w:rsidP="004C17EC">
      <w:pPr>
        <w:shd w:val="clear" w:color="auto" w:fill="FFFFFF"/>
        <w:ind w:left="425"/>
        <w:jc w:val="both"/>
        <w:rPr>
          <w:rFonts w:ascii="Poppins" w:hAnsi="Poppins" w:cs="Poppins"/>
          <w:sz w:val="18"/>
          <w:szCs w:val="18"/>
        </w:rPr>
      </w:pPr>
      <w:r w:rsidRPr="00D13420">
        <w:rPr>
          <w:rFonts w:ascii="Poppins" w:hAnsi="Poppins" w:cs="Poppins"/>
          <w:sz w:val="18"/>
          <w:szCs w:val="18"/>
        </w:rPr>
        <w:t>La liberación de reservas estratégicas volvió a funcionar como uno de los principales contrapesos frente a la crisis del Golfo Pérsico. Al 24 de abril, EE.UU. había liberado cerca de 80 millones de barriles de crudo desde sus reservas, buscando aliviar la presión sobre refinerías y compensar parcialmente la menor disponibilidad de suministros provenientes de Medio Oriente.</w:t>
      </w:r>
    </w:p>
    <w:p w14:paraId="21A621F5" w14:textId="77777777" w:rsidR="004C17EC" w:rsidRPr="00D13420" w:rsidRDefault="004C17EC" w:rsidP="004C17EC">
      <w:pPr>
        <w:shd w:val="clear" w:color="auto" w:fill="FFFFFF"/>
        <w:ind w:left="425"/>
        <w:jc w:val="both"/>
        <w:rPr>
          <w:rFonts w:ascii="Poppins" w:hAnsi="Poppins" w:cs="Poppins"/>
          <w:sz w:val="18"/>
          <w:szCs w:val="18"/>
        </w:rPr>
      </w:pPr>
    </w:p>
    <w:p w14:paraId="7D718047" w14:textId="77777777" w:rsidR="004C17EC" w:rsidRPr="00D13420" w:rsidRDefault="004C17EC" w:rsidP="004C17EC">
      <w:pPr>
        <w:shd w:val="clear" w:color="auto" w:fill="FFFFFF"/>
        <w:ind w:left="425"/>
        <w:jc w:val="both"/>
        <w:rPr>
          <w:rFonts w:ascii="Poppins" w:hAnsi="Poppins" w:cs="Poppins"/>
          <w:sz w:val="18"/>
          <w:szCs w:val="18"/>
        </w:rPr>
      </w:pPr>
      <w:r w:rsidRPr="00D13420">
        <w:rPr>
          <w:rFonts w:ascii="Poppins" w:hAnsi="Poppins" w:cs="Poppins"/>
          <w:sz w:val="18"/>
          <w:szCs w:val="18"/>
        </w:rPr>
        <w:t xml:space="preserve">Japón también reforzó esta estrategia al anunciar una segunda liberación de 36 millones de barriles desde el 1 de mayo, orientada a asegurar el abastecimiento interno y moderar el </w:t>
      </w:r>
      <w:r w:rsidRPr="00D13420">
        <w:rPr>
          <w:rFonts w:ascii="Poppins" w:hAnsi="Poppins" w:cs="Poppins"/>
          <w:sz w:val="18"/>
          <w:szCs w:val="18"/>
        </w:rPr>
        <w:lastRenderedPageBreak/>
        <w:t>impacto de los mayores precios internacionales. En conjunto, estas medidas no eliminaron la prima geopolítica asociada a Ormuz y al conflicto EE.UU. versus Irán, pero sí ayudaron a estabilizar el precio y limitar un traslado más agresivo hacia combustibles.</w:t>
      </w:r>
    </w:p>
    <w:p w14:paraId="0653208D" w14:textId="77777777" w:rsidR="004C17EC" w:rsidRPr="007654D3" w:rsidRDefault="004C17EC" w:rsidP="004C17EC">
      <w:pPr>
        <w:shd w:val="clear" w:color="auto" w:fill="FFFFFF"/>
        <w:ind w:left="425"/>
        <w:jc w:val="both"/>
        <w:rPr>
          <w:rFonts w:ascii="Poppins" w:hAnsi="Poppins" w:cs="Poppins"/>
          <w:sz w:val="18"/>
          <w:szCs w:val="18"/>
          <w:highlight w:val="yellow"/>
        </w:rPr>
      </w:pPr>
    </w:p>
    <w:p w14:paraId="3E148555" w14:textId="77777777" w:rsidR="004C17EC" w:rsidRPr="00DB63F8" w:rsidRDefault="004C17EC" w:rsidP="004C17EC">
      <w:pPr>
        <w:pStyle w:val="Prrafodelista"/>
        <w:numPr>
          <w:ilvl w:val="0"/>
          <w:numId w:val="30"/>
        </w:numPr>
        <w:ind w:left="425"/>
        <w:contextualSpacing/>
        <w:jc w:val="both"/>
        <w:rPr>
          <w:rFonts w:ascii="Poppins" w:hAnsi="Poppins" w:cs="Poppins"/>
          <w:b/>
          <w:sz w:val="18"/>
          <w:szCs w:val="18"/>
        </w:rPr>
      </w:pPr>
      <w:r w:rsidRPr="00DB63F8">
        <w:rPr>
          <w:rFonts w:ascii="Poppins" w:hAnsi="Poppins" w:cs="Poppins"/>
          <w:b/>
          <w:sz w:val="18"/>
          <w:szCs w:val="18"/>
        </w:rPr>
        <w:t>La AIE y OPEP recortaron sus previsiones y reforzaron la señal de una demanda petrolera más débil</w:t>
      </w:r>
    </w:p>
    <w:p w14:paraId="344BEBFD" w14:textId="77777777" w:rsidR="004C17EC" w:rsidRPr="00DB63F8" w:rsidRDefault="004C17EC" w:rsidP="004C17EC">
      <w:pPr>
        <w:shd w:val="clear" w:color="auto" w:fill="FFFFFF"/>
        <w:ind w:left="425"/>
        <w:jc w:val="both"/>
        <w:rPr>
          <w:rFonts w:ascii="Poppins" w:hAnsi="Poppins" w:cs="Poppins"/>
          <w:sz w:val="18"/>
          <w:szCs w:val="18"/>
        </w:rPr>
      </w:pPr>
    </w:p>
    <w:p w14:paraId="5FA92824" w14:textId="77777777" w:rsidR="004C17EC" w:rsidRPr="00DB63F8" w:rsidRDefault="004C17EC" w:rsidP="004C17EC">
      <w:pPr>
        <w:shd w:val="clear" w:color="auto" w:fill="FFFFFF"/>
        <w:ind w:left="425"/>
        <w:jc w:val="both"/>
        <w:rPr>
          <w:rFonts w:ascii="Poppins" w:hAnsi="Poppins" w:cs="Poppins"/>
          <w:sz w:val="18"/>
          <w:szCs w:val="18"/>
        </w:rPr>
      </w:pPr>
      <w:r w:rsidRPr="00DB63F8">
        <w:rPr>
          <w:rFonts w:ascii="Poppins" w:hAnsi="Poppins" w:cs="Poppins"/>
          <w:sz w:val="18"/>
          <w:szCs w:val="18"/>
        </w:rPr>
        <w:t>La semana pasada, dos referencias del mercado petrolero ajustaron a la baja sus perspectivas y reforzaron la percepción de un balance más holgado del petróleo mundial para 2026. El 14 de abril, la AIE (Agencia Internacional de la Energía) redujo su superávit proyectado para 2026 a 410 mil bpd, desde 2,46 millones bpd el mes anterior, y además pasó de prever un crecimiento de la demanda a anticipar una contracción de 80 mil bpd este año, afectada por la guerra en Medio Oriente, el cierre del estrecho de Ormuz y el debilitamiento de la demanda en Asia y la propia región.</w:t>
      </w:r>
    </w:p>
    <w:p w14:paraId="7775E81B" w14:textId="77777777" w:rsidR="004C17EC" w:rsidRPr="00DB63F8" w:rsidRDefault="004C17EC" w:rsidP="004C17EC">
      <w:pPr>
        <w:shd w:val="clear" w:color="auto" w:fill="FFFFFF"/>
        <w:ind w:left="425"/>
        <w:jc w:val="both"/>
        <w:rPr>
          <w:rFonts w:ascii="Poppins" w:hAnsi="Poppins" w:cs="Poppins"/>
          <w:sz w:val="18"/>
          <w:szCs w:val="18"/>
        </w:rPr>
      </w:pPr>
    </w:p>
    <w:p w14:paraId="01565DC1" w14:textId="77777777" w:rsidR="004C17EC" w:rsidRPr="00DB63F8" w:rsidRDefault="004C17EC" w:rsidP="004C17EC">
      <w:pPr>
        <w:shd w:val="clear" w:color="auto" w:fill="FFFFFF"/>
        <w:ind w:left="425"/>
        <w:jc w:val="both"/>
        <w:rPr>
          <w:rFonts w:ascii="Poppins" w:hAnsi="Poppins" w:cs="Poppins"/>
          <w:sz w:val="18"/>
          <w:szCs w:val="18"/>
        </w:rPr>
      </w:pPr>
      <w:r w:rsidRPr="00DB63F8">
        <w:rPr>
          <w:rFonts w:ascii="Poppins" w:hAnsi="Poppins" w:cs="Poppins"/>
          <w:sz w:val="18"/>
          <w:szCs w:val="18"/>
        </w:rPr>
        <w:t>Un día antes, el 13 de abril, la OPEP también recortó su previsión de demanda mundial para el segundo trimestre de 2026 en 500 mil bpd, hasta 105,07 millones de bpd, frente a los 105,57 millones de bpd estimados previamente. Aunque el grupo mantuvo sin cambios su previsión de crecimiento para todo 2026 en 1,38 millones de bpd, el ajuste trimestral confirmó que, en el corto plazo, el mercado estaba sintiendo más el freno del consumo que el soporte de oferta. En conjunto, ambos recortes reforzaron el sesgo bajista del crudo al mostrar que, incluso en un entorno geopolítico extremo, la demanda no estaba respondiendo con la fuerza suficiente para sostener precios altos si no es con el apoyo de un evento geopolítico de riesgo elevado.</w:t>
      </w:r>
    </w:p>
    <w:p w14:paraId="69577806" w14:textId="77777777" w:rsidR="004C17EC" w:rsidRPr="007654D3" w:rsidRDefault="004C17EC" w:rsidP="004C17EC">
      <w:pPr>
        <w:shd w:val="clear" w:color="auto" w:fill="FFFFFF"/>
        <w:ind w:left="425"/>
        <w:jc w:val="both"/>
        <w:rPr>
          <w:rFonts w:ascii="Poppins" w:hAnsi="Poppins" w:cs="Poppins"/>
          <w:sz w:val="18"/>
          <w:szCs w:val="18"/>
          <w:highlight w:val="yellow"/>
        </w:rPr>
      </w:pPr>
    </w:p>
    <w:p w14:paraId="5BA45FE3" w14:textId="77777777" w:rsidR="004C17EC" w:rsidRPr="00BD1754" w:rsidRDefault="004C17EC" w:rsidP="004C17EC">
      <w:pPr>
        <w:pStyle w:val="Prrafodelista"/>
        <w:numPr>
          <w:ilvl w:val="0"/>
          <w:numId w:val="30"/>
        </w:numPr>
        <w:ind w:left="425"/>
        <w:contextualSpacing/>
        <w:jc w:val="both"/>
        <w:rPr>
          <w:rFonts w:ascii="Poppins" w:hAnsi="Poppins" w:cs="Poppins"/>
          <w:b/>
          <w:sz w:val="18"/>
          <w:szCs w:val="18"/>
        </w:rPr>
      </w:pPr>
      <w:r w:rsidRPr="00BD1754">
        <w:rPr>
          <w:rFonts w:ascii="Poppins" w:hAnsi="Poppins" w:cs="Poppins"/>
          <w:b/>
          <w:sz w:val="18"/>
          <w:szCs w:val="18"/>
        </w:rPr>
        <w:t>La crisis del Golfo Pérsico pasó de restricción logística a shock efectivo de oferta de crudo, GNL y refinados en Medio Oriente</w:t>
      </w:r>
    </w:p>
    <w:p w14:paraId="4BFF675F" w14:textId="77777777" w:rsidR="004C17EC" w:rsidRPr="00BD1754" w:rsidRDefault="004C17EC" w:rsidP="004C17EC">
      <w:pPr>
        <w:jc w:val="both"/>
        <w:rPr>
          <w:rFonts w:ascii="Poppins" w:hAnsi="Poppins" w:cs="Poppins"/>
          <w:b/>
          <w:sz w:val="18"/>
          <w:szCs w:val="18"/>
        </w:rPr>
      </w:pPr>
    </w:p>
    <w:p w14:paraId="202D9489" w14:textId="77777777" w:rsidR="004C17EC" w:rsidRPr="00BD1754" w:rsidRDefault="004C17EC" w:rsidP="004C17EC">
      <w:pPr>
        <w:shd w:val="clear" w:color="auto" w:fill="FFFFFF"/>
        <w:ind w:left="425"/>
        <w:jc w:val="both"/>
        <w:rPr>
          <w:rFonts w:ascii="Poppins" w:hAnsi="Poppins" w:cs="Poppins"/>
          <w:sz w:val="18"/>
          <w:szCs w:val="18"/>
        </w:rPr>
      </w:pPr>
      <w:r w:rsidRPr="00BD1754">
        <w:rPr>
          <w:rFonts w:ascii="Poppins" w:hAnsi="Poppins" w:cs="Poppins"/>
          <w:sz w:val="18"/>
          <w:szCs w:val="18"/>
        </w:rPr>
        <w:t>En crudo, la crisis dejó de ser una simple restricción de tránsito y pasó a convertirse en una pérdida efectiva de oferta. Durante la última semana, Goldman Sachs estimó que cerca de 14,5 millones de bpd de producción del Golfo Pérsico, equivalentes al 57% del suministro regional previo, seguían fuera de servicio. La entidad advirtió, además, que incluso con una reapertura segura del Estrecho de Ormuz, la recuperación podría tomar varios meses, lo que confirmó que el mercado enfrentaba una contracción física de oferta y no solo un retraso temporal de cargamentos.</w:t>
      </w:r>
    </w:p>
    <w:p w14:paraId="0FA80A43" w14:textId="77777777" w:rsidR="004C17EC" w:rsidRPr="00BD1754" w:rsidRDefault="004C17EC" w:rsidP="004C17EC">
      <w:pPr>
        <w:shd w:val="clear" w:color="auto" w:fill="FFFFFF"/>
        <w:ind w:left="425"/>
        <w:jc w:val="both"/>
        <w:rPr>
          <w:rFonts w:ascii="Poppins" w:hAnsi="Poppins" w:cs="Poppins"/>
          <w:sz w:val="18"/>
          <w:szCs w:val="18"/>
        </w:rPr>
      </w:pPr>
    </w:p>
    <w:p w14:paraId="3C9E728C" w14:textId="77777777" w:rsidR="004C17EC" w:rsidRPr="00BD1754" w:rsidRDefault="004C17EC" w:rsidP="004C17EC">
      <w:pPr>
        <w:shd w:val="clear" w:color="auto" w:fill="FFFFFF"/>
        <w:ind w:left="425"/>
        <w:jc w:val="both"/>
        <w:rPr>
          <w:rFonts w:ascii="Poppins" w:hAnsi="Poppins" w:cs="Poppins"/>
          <w:sz w:val="18"/>
          <w:szCs w:val="18"/>
        </w:rPr>
      </w:pPr>
      <w:r w:rsidRPr="00BD1754">
        <w:rPr>
          <w:rFonts w:ascii="Poppins" w:hAnsi="Poppins" w:cs="Poppins"/>
          <w:sz w:val="18"/>
          <w:szCs w:val="18"/>
        </w:rPr>
        <w:t>En productos refinados, el impacto también se mantuvo elevado, porque la menor disponibilidad de crudo del Golfo redujo la capacidad de reabastecimiento de refinerías y mercados importadores. La restricción de Ormuz, las dificultades de carga y el menor flujo de tanqueros elevaron los costos de fletes, seguros y reposición, sosteniendo precios altos en el diésel, jet fuel (aviación), gasolinas y fuel oil. Por ello, aun cuando las señales diplomáticas moderaron parcialmente el repunte del crudo, el mercado de derivados siguió reflejando una oferta ajustada y vulnerable a nuevas interrupciones.</w:t>
      </w:r>
    </w:p>
    <w:p w14:paraId="259D4645" w14:textId="77777777" w:rsidR="004C17EC" w:rsidRPr="00BD1754" w:rsidRDefault="004C17EC" w:rsidP="004C17EC">
      <w:pPr>
        <w:shd w:val="clear" w:color="auto" w:fill="FFFFFF"/>
        <w:ind w:left="425"/>
        <w:jc w:val="both"/>
        <w:rPr>
          <w:rFonts w:ascii="Poppins" w:hAnsi="Poppins" w:cs="Poppins"/>
          <w:sz w:val="18"/>
          <w:szCs w:val="18"/>
        </w:rPr>
      </w:pPr>
    </w:p>
    <w:p w14:paraId="1D9D7DA4" w14:textId="77777777" w:rsidR="004C17EC" w:rsidRPr="00BD1754" w:rsidRDefault="004C17EC" w:rsidP="004C17EC">
      <w:pPr>
        <w:shd w:val="clear" w:color="auto" w:fill="FFFFFF"/>
        <w:ind w:left="425"/>
        <w:jc w:val="both"/>
        <w:rPr>
          <w:rFonts w:ascii="Poppins" w:hAnsi="Poppins" w:cs="Poppins"/>
          <w:sz w:val="18"/>
          <w:szCs w:val="18"/>
        </w:rPr>
      </w:pPr>
      <w:r w:rsidRPr="00BD1754">
        <w:rPr>
          <w:rFonts w:ascii="Poppins" w:hAnsi="Poppins" w:cs="Poppins"/>
          <w:sz w:val="18"/>
          <w:szCs w:val="18"/>
        </w:rPr>
        <w:t xml:space="preserve">En GNL, el efecto fue distinto, pero igualmente relevante. La pérdida de capacidad de licuefacción de Catar, estimada en alrededor de 13 millones de toneladas anuales durante los próximos 1 a 2 años, afectó a compradores dependientes del suministro catarí, mientras países como Pakistán suspendieron importaciones tras ataques en Ras Laffan. Sin embargo, </w:t>
      </w:r>
      <w:r w:rsidRPr="00BD1754">
        <w:rPr>
          <w:rFonts w:ascii="Poppins" w:hAnsi="Poppins" w:cs="Poppins"/>
          <w:sz w:val="18"/>
          <w:szCs w:val="18"/>
        </w:rPr>
        <w:lastRenderedPageBreak/>
        <w:t>el impacto alcista fue compensado parcialmente por la debilidad de la demanda asiática, con importaciones regionales estimadas en 19,2 millones de toneladas, el menor nivel mensual desde abril de 2020 y 11% menos interanual.</w:t>
      </w:r>
    </w:p>
    <w:p w14:paraId="3DE9B560" w14:textId="77777777" w:rsidR="004C17EC" w:rsidRPr="00BD1754" w:rsidRDefault="004C17EC" w:rsidP="004C17EC">
      <w:pPr>
        <w:shd w:val="clear" w:color="auto" w:fill="FFFFFF"/>
        <w:ind w:left="425"/>
        <w:jc w:val="both"/>
        <w:rPr>
          <w:rFonts w:ascii="Poppins" w:hAnsi="Poppins" w:cs="Poppins"/>
          <w:sz w:val="18"/>
          <w:szCs w:val="18"/>
        </w:rPr>
      </w:pPr>
    </w:p>
    <w:p w14:paraId="49DFF193" w14:textId="77777777" w:rsidR="004C17EC" w:rsidRPr="00BD1754" w:rsidRDefault="004C17EC" w:rsidP="004C17EC">
      <w:pPr>
        <w:shd w:val="clear" w:color="auto" w:fill="FFFFFF"/>
        <w:ind w:left="425"/>
        <w:jc w:val="both"/>
        <w:rPr>
          <w:rFonts w:ascii="Poppins" w:hAnsi="Poppins" w:cs="Poppins"/>
          <w:sz w:val="18"/>
          <w:szCs w:val="18"/>
        </w:rPr>
      </w:pPr>
      <w:r w:rsidRPr="00BD1754">
        <w:rPr>
          <w:rFonts w:ascii="Poppins" w:hAnsi="Poppins" w:cs="Poppins"/>
          <w:sz w:val="18"/>
          <w:szCs w:val="18"/>
        </w:rPr>
        <w:t>En conjunto, la crisis del Golfo dejó de ser una perturbación exclusivamente logística para convertirse en un shock integral de oferta energética. La región enfrentó simultáneamente pérdida de producción de crudo, menor disponibilidad de refinados, restricciones de tránsito, capacidad exportadora de GNL afectada y una reapertura todavía incierta de su principal corredor marítimo. Por ello, el mercado ya no incorporaba solo una prima geopolítica, sino una contracción material de oferta en uno de los núcleos energéticos más sensibles del mundo, con efectos inmediatos sobre precios y con secuelas que podrían persistir incluso si Ormuz empieza a normalizarse.</w:t>
      </w:r>
    </w:p>
    <w:p w14:paraId="6980EC21" w14:textId="1A187639" w:rsidR="00604BC3" w:rsidRDefault="00604BC3" w:rsidP="00604BC3">
      <w:pPr>
        <w:shd w:val="clear" w:color="auto" w:fill="FFFFFF"/>
        <w:ind w:left="425"/>
        <w:jc w:val="both"/>
        <w:rPr>
          <w:rFonts w:ascii="Poppins" w:hAnsi="Poppins" w:cs="Poppins"/>
          <w:sz w:val="18"/>
          <w:szCs w:val="18"/>
          <w:highlight w:val="yellow"/>
        </w:rPr>
      </w:pPr>
    </w:p>
    <w:p w14:paraId="0900822D" w14:textId="738EBA35" w:rsidR="00A3178F" w:rsidRDefault="00A3178F" w:rsidP="0000213D">
      <w:pPr>
        <w:jc w:val="both"/>
        <w:rPr>
          <w:rFonts w:ascii="Poppins" w:hAnsi="Poppins" w:cs="Poppins"/>
          <w:sz w:val="18"/>
          <w:szCs w:val="18"/>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Incremento de las tarifas de los barcos que transportan combustibles y gas, derivado de las demoras, tal como puede observarse en la gráfica N°</w:t>
      </w:r>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N°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577D0BA2">
            <wp:extent cx="5167630" cy="3225800"/>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58202" cy="3282338"/>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4B2603EE" w:rsidR="006A59A3" w:rsidRDefault="006A59A3" w:rsidP="00D87FA1">
      <w:pPr>
        <w:ind w:left="426"/>
        <w:jc w:val="both"/>
        <w:rPr>
          <w:rFonts w:ascii="Poppins" w:hAnsi="Poppins" w:cs="Poppins"/>
          <w:sz w:val="18"/>
          <w:szCs w:val="18"/>
        </w:rPr>
      </w:pPr>
    </w:p>
    <w:p w14:paraId="41A908E3" w14:textId="300D7287" w:rsidR="003A0D60" w:rsidRDefault="003A0D60" w:rsidP="00D87FA1">
      <w:pPr>
        <w:ind w:left="426"/>
        <w:jc w:val="both"/>
        <w:rPr>
          <w:rFonts w:ascii="Poppins" w:hAnsi="Poppins" w:cs="Poppins"/>
          <w:sz w:val="18"/>
          <w:szCs w:val="18"/>
        </w:rPr>
      </w:pPr>
    </w:p>
    <w:p w14:paraId="0EEF7B5D" w14:textId="145C5BDB" w:rsidR="00C85B7F" w:rsidRDefault="00C85B7F" w:rsidP="00D87FA1">
      <w:pPr>
        <w:ind w:left="426"/>
        <w:jc w:val="both"/>
        <w:rPr>
          <w:rFonts w:ascii="Poppins" w:hAnsi="Poppins" w:cs="Poppins"/>
          <w:sz w:val="18"/>
          <w:szCs w:val="18"/>
        </w:rPr>
      </w:pPr>
    </w:p>
    <w:p w14:paraId="363C9575" w14:textId="4D3E8C7C" w:rsidR="00C85B7F" w:rsidRDefault="00C85B7F" w:rsidP="00D87FA1">
      <w:pPr>
        <w:ind w:left="426"/>
        <w:jc w:val="both"/>
        <w:rPr>
          <w:rFonts w:ascii="Poppins" w:hAnsi="Poppins" w:cs="Poppins"/>
          <w:sz w:val="18"/>
          <w:szCs w:val="18"/>
        </w:rPr>
      </w:pPr>
    </w:p>
    <w:p w14:paraId="73A048DC" w14:textId="67181BA0" w:rsidR="00C85B7F" w:rsidRDefault="00C85B7F" w:rsidP="00D87FA1">
      <w:pPr>
        <w:ind w:left="426"/>
        <w:jc w:val="both"/>
        <w:rPr>
          <w:rFonts w:ascii="Poppins" w:hAnsi="Poppins" w:cs="Poppins"/>
          <w:sz w:val="18"/>
          <w:szCs w:val="18"/>
        </w:rPr>
      </w:pPr>
    </w:p>
    <w:p w14:paraId="433FCC90" w14:textId="2BD6B3DB" w:rsidR="00C85B7F" w:rsidRDefault="00C85B7F" w:rsidP="00D87FA1">
      <w:pPr>
        <w:ind w:left="426"/>
        <w:jc w:val="both"/>
        <w:rPr>
          <w:rFonts w:ascii="Poppins" w:hAnsi="Poppins" w:cs="Poppins"/>
          <w:sz w:val="18"/>
          <w:szCs w:val="18"/>
        </w:rPr>
      </w:pPr>
    </w:p>
    <w:p w14:paraId="66BEA535" w14:textId="3AD4DB7D" w:rsidR="004950F7" w:rsidRDefault="004950F7" w:rsidP="00D87FA1">
      <w:pPr>
        <w:ind w:left="426"/>
        <w:jc w:val="both"/>
        <w:rPr>
          <w:rFonts w:ascii="Poppins" w:hAnsi="Poppins" w:cs="Poppins"/>
          <w:sz w:val="18"/>
          <w:szCs w:val="18"/>
        </w:rPr>
      </w:pPr>
    </w:p>
    <w:p w14:paraId="12F52035" w14:textId="60E143E7" w:rsidR="004950F7" w:rsidRDefault="004950F7" w:rsidP="00D87FA1">
      <w:pPr>
        <w:ind w:left="426"/>
        <w:jc w:val="both"/>
        <w:rPr>
          <w:rFonts w:ascii="Poppins" w:hAnsi="Poppins" w:cs="Poppins"/>
          <w:sz w:val="18"/>
          <w:szCs w:val="18"/>
        </w:rPr>
      </w:pPr>
    </w:p>
    <w:p w14:paraId="3CF6ED07" w14:textId="67F005E6" w:rsidR="004950F7" w:rsidRDefault="004950F7" w:rsidP="00D87FA1">
      <w:pPr>
        <w:ind w:left="426"/>
        <w:jc w:val="both"/>
        <w:rPr>
          <w:rFonts w:ascii="Poppins" w:hAnsi="Poppins" w:cs="Poppins"/>
          <w:sz w:val="18"/>
          <w:szCs w:val="18"/>
        </w:rPr>
      </w:pPr>
    </w:p>
    <w:p w14:paraId="7E1F3905" w14:textId="0EDB674F" w:rsidR="004950F7" w:rsidRDefault="004950F7" w:rsidP="00D87FA1">
      <w:pPr>
        <w:ind w:left="426"/>
        <w:jc w:val="both"/>
        <w:rPr>
          <w:rFonts w:ascii="Poppins" w:hAnsi="Poppins" w:cs="Poppins"/>
          <w:sz w:val="18"/>
          <w:szCs w:val="18"/>
        </w:rPr>
      </w:pPr>
    </w:p>
    <w:p w14:paraId="12170A28" w14:textId="77777777" w:rsidR="004950F7" w:rsidRDefault="004950F7" w:rsidP="00D87FA1">
      <w:pPr>
        <w:ind w:left="426"/>
        <w:jc w:val="both"/>
        <w:rPr>
          <w:rFonts w:ascii="Poppins" w:hAnsi="Poppins" w:cs="Poppins"/>
          <w:sz w:val="18"/>
          <w:szCs w:val="18"/>
        </w:rPr>
      </w:pPr>
    </w:p>
    <w:p w14:paraId="2BB8E191" w14:textId="6EB252DD" w:rsidR="00C85B7F" w:rsidRDefault="00C85B7F" w:rsidP="00D87FA1">
      <w:pPr>
        <w:ind w:left="426"/>
        <w:jc w:val="both"/>
        <w:rPr>
          <w:rFonts w:ascii="Poppins" w:hAnsi="Poppins" w:cs="Poppins"/>
          <w:sz w:val="18"/>
          <w:szCs w:val="18"/>
        </w:rPr>
      </w:pPr>
    </w:p>
    <w:p w14:paraId="4A21CFCC" w14:textId="18ED6CD0" w:rsidR="00C85B7F" w:rsidRDefault="00C85B7F" w:rsidP="00D87FA1">
      <w:pPr>
        <w:ind w:left="426"/>
        <w:jc w:val="both"/>
        <w:rPr>
          <w:rFonts w:ascii="Poppins" w:hAnsi="Poppins" w:cs="Poppins"/>
          <w:sz w:val="18"/>
          <w:szCs w:val="18"/>
        </w:rPr>
      </w:pPr>
    </w:p>
    <w:p w14:paraId="67741797" w14:textId="614E6753" w:rsidR="004950F7" w:rsidRDefault="004950F7" w:rsidP="00D87FA1">
      <w:pPr>
        <w:ind w:left="426"/>
        <w:jc w:val="both"/>
        <w:rPr>
          <w:rFonts w:ascii="Poppins" w:hAnsi="Poppins" w:cs="Poppins"/>
          <w:sz w:val="18"/>
          <w:szCs w:val="18"/>
        </w:rPr>
      </w:pPr>
    </w:p>
    <w:p w14:paraId="17DEC853" w14:textId="58B7E494" w:rsidR="004C17EC" w:rsidRDefault="004C17EC" w:rsidP="00D87FA1">
      <w:pPr>
        <w:ind w:left="426"/>
        <w:jc w:val="both"/>
        <w:rPr>
          <w:rFonts w:ascii="Poppins" w:hAnsi="Poppins" w:cs="Poppins"/>
          <w:sz w:val="18"/>
          <w:szCs w:val="18"/>
        </w:rPr>
      </w:pPr>
    </w:p>
    <w:p w14:paraId="21C8E619" w14:textId="333008E0" w:rsidR="004C17EC" w:rsidRDefault="004C17EC" w:rsidP="00D87FA1">
      <w:pPr>
        <w:ind w:left="426"/>
        <w:jc w:val="both"/>
        <w:rPr>
          <w:rFonts w:ascii="Poppins" w:hAnsi="Poppins" w:cs="Poppins"/>
          <w:sz w:val="18"/>
          <w:szCs w:val="18"/>
        </w:rPr>
      </w:pPr>
    </w:p>
    <w:p w14:paraId="54D15144" w14:textId="77777777" w:rsidR="004C17EC" w:rsidRDefault="004C17EC" w:rsidP="00D87FA1">
      <w:pPr>
        <w:ind w:left="426"/>
        <w:jc w:val="both"/>
        <w:rPr>
          <w:rFonts w:ascii="Poppins" w:hAnsi="Poppins" w:cs="Poppins"/>
          <w:sz w:val="18"/>
          <w:szCs w:val="18"/>
        </w:rPr>
      </w:pPr>
    </w:p>
    <w:p w14:paraId="55C322C1" w14:textId="2749DC07" w:rsidR="004950F7" w:rsidRDefault="004950F7" w:rsidP="00D87FA1">
      <w:pPr>
        <w:ind w:left="426"/>
        <w:jc w:val="both"/>
        <w:rPr>
          <w:rFonts w:ascii="Poppins" w:hAnsi="Poppins" w:cs="Poppins"/>
          <w:sz w:val="18"/>
          <w:szCs w:val="18"/>
        </w:rPr>
      </w:pPr>
    </w:p>
    <w:p w14:paraId="578AB648" w14:textId="7F7FDBC4" w:rsidR="004950F7" w:rsidRDefault="004950F7" w:rsidP="00D87FA1">
      <w:pPr>
        <w:ind w:left="426"/>
        <w:jc w:val="both"/>
        <w:rPr>
          <w:rFonts w:ascii="Poppins" w:hAnsi="Poppins" w:cs="Poppins"/>
          <w:sz w:val="18"/>
          <w:szCs w:val="18"/>
        </w:rPr>
      </w:pPr>
    </w:p>
    <w:p w14:paraId="671EF8D2" w14:textId="77777777" w:rsidR="004950F7" w:rsidRDefault="004950F7" w:rsidP="00D87FA1">
      <w:pPr>
        <w:ind w:left="426"/>
        <w:jc w:val="both"/>
        <w:rPr>
          <w:rFonts w:ascii="Poppins" w:hAnsi="Poppins" w:cs="Poppins"/>
          <w:sz w:val="18"/>
          <w:szCs w:val="18"/>
        </w:rPr>
      </w:pPr>
    </w:p>
    <w:p w14:paraId="09BB84FC" w14:textId="77777777" w:rsidR="00C85B7F" w:rsidRDefault="00C85B7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2B4A55CB"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Resolución N° 0</w:t>
      </w:r>
      <w:r w:rsidR="00F56EEA">
        <w:rPr>
          <w:rFonts w:ascii="Poppins" w:hAnsi="Poppins" w:cs="Poppins"/>
          <w:sz w:val="18"/>
          <w:szCs w:val="18"/>
        </w:rPr>
        <w:t>06</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N° 6 utilizado en actividades de generación eléctrica en sistemas eléctricos Aislados con vigencia desde el </w:t>
      </w:r>
      <w:r w:rsidR="00DE2753">
        <w:rPr>
          <w:rFonts w:ascii="Poppins" w:hAnsi="Poppins" w:cs="Poppins"/>
          <w:sz w:val="18"/>
          <w:szCs w:val="18"/>
        </w:rPr>
        <w:t>2</w:t>
      </w:r>
      <w:r w:rsidR="00F56EEA">
        <w:rPr>
          <w:rFonts w:ascii="Poppins" w:hAnsi="Poppins" w:cs="Poppins"/>
          <w:sz w:val="18"/>
          <w:szCs w:val="18"/>
        </w:rPr>
        <w:t>7</w:t>
      </w:r>
      <w:r w:rsidR="004748A9" w:rsidRPr="00581B20">
        <w:rPr>
          <w:rFonts w:ascii="Poppins" w:hAnsi="Poppins" w:cs="Poppins"/>
          <w:sz w:val="18"/>
          <w:szCs w:val="18"/>
        </w:rPr>
        <w:t xml:space="preserve"> de </w:t>
      </w:r>
      <w:r w:rsidR="00F56EEA">
        <w:rPr>
          <w:rFonts w:ascii="Poppins" w:hAnsi="Poppins" w:cs="Poppins"/>
          <w:sz w:val="18"/>
          <w:szCs w:val="18"/>
        </w:rPr>
        <w:t>febrero</w:t>
      </w:r>
      <w:r w:rsidR="004748A9" w:rsidRPr="00581B20">
        <w:rPr>
          <w:rFonts w:ascii="Poppins" w:hAnsi="Poppins" w:cs="Poppins"/>
          <w:sz w:val="18"/>
          <w:szCs w:val="18"/>
        </w:rPr>
        <w:t xml:space="preserve"> de 2025 hasta el </w:t>
      </w:r>
      <w:r w:rsidR="00F56EEA">
        <w:rPr>
          <w:rFonts w:ascii="Poppins" w:hAnsi="Poppins" w:cs="Poppins"/>
          <w:sz w:val="18"/>
          <w:szCs w:val="18"/>
        </w:rPr>
        <w:t>30</w:t>
      </w:r>
      <w:r w:rsidR="004748A9" w:rsidRPr="00581B20">
        <w:rPr>
          <w:rFonts w:ascii="Poppins" w:hAnsi="Poppins" w:cs="Poppins"/>
          <w:sz w:val="18"/>
          <w:szCs w:val="18"/>
        </w:rPr>
        <w:t xml:space="preserve"> de </w:t>
      </w:r>
      <w:r w:rsidR="00F56EEA">
        <w:rPr>
          <w:rFonts w:ascii="Poppins" w:hAnsi="Poppins" w:cs="Poppins"/>
          <w:sz w:val="18"/>
          <w:szCs w:val="18"/>
        </w:rPr>
        <w:t>abril</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3F9D2E33"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Resolución N° 0</w:t>
      </w:r>
      <w:r w:rsidR="000040AB">
        <w:rPr>
          <w:rFonts w:ascii="Poppins" w:hAnsi="Poppins" w:cs="Poppins"/>
          <w:sz w:val="18"/>
          <w:szCs w:val="18"/>
        </w:rPr>
        <w:t>0</w:t>
      </w:r>
      <w:r w:rsidR="00AA7D7A">
        <w:rPr>
          <w:rFonts w:ascii="Poppins" w:hAnsi="Poppins" w:cs="Poppins"/>
          <w:sz w:val="18"/>
          <w:szCs w:val="18"/>
        </w:rPr>
        <w:t>8</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8A0B48">
        <w:rPr>
          <w:rFonts w:ascii="Poppins" w:hAnsi="Poppins" w:cs="Poppins"/>
          <w:sz w:val="18"/>
          <w:szCs w:val="18"/>
        </w:rPr>
        <w:t>27</w:t>
      </w:r>
      <w:r w:rsidR="007C4098">
        <w:rPr>
          <w:rFonts w:ascii="Poppins" w:hAnsi="Poppins" w:cs="Poppins"/>
          <w:sz w:val="18"/>
          <w:szCs w:val="18"/>
        </w:rPr>
        <w:t xml:space="preserve"> de</w:t>
      </w:r>
      <w:r w:rsidRPr="00581B20">
        <w:rPr>
          <w:rFonts w:ascii="Poppins" w:hAnsi="Poppins" w:cs="Poppins"/>
          <w:sz w:val="18"/>
          <w:szCs w:val="18"/>
        </w:rPr>
        <w:t xml:space="preserve"> </w:t>
      </w:r>
      <w:r w:rsidR="00AA7D7A">
        <w:rPr>
          <w:rFonts w:ascii="Poppins" w:hAnsi="Poppins" w:cs="Poppins"/>
          <w:sz w:val="18"/>
          <w:szCs w:val="18"/>
        </w:rPr>
        <w:t>marzo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AA7D7A">
        <w:rPr>
          <w:rFonts w:ascii="Poppins" w:hAnsi="Poppins" w:cs="Poppins"/>
          <w:sz w:val="18"/>
          <w:szCs w:val="18"/>
        </w:rPr>
        <w:t>30</w:t>
      </w:r>
      <w:r w:rsidRPr="00581B20">
        <w:rPr>
          <w:rFonts w:ascii="Poppins" w:hAnsi="Poppins" w:cs="Poppins"/>
          <w:sz w:val="18"/>
          <w:szCs w:val="18"/>
        </w:rPr>
        <w:t xml:space="preserve"> de </w:t>
      </w:r>
      <w:r w:rsidR="00AA7D7A">
        <w:rPr>
          <w:rFonts w:ascii="Poppins" w:hAnsi="Poppins" w:cs="Poppins"/>
          <w:sz w:val="18"/>
          <w:szCs w:val="18"/>
        </w:rPr>
        <w:t>abril</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22B0755D"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AA7D7A">
        <w:rPr>
          <w:rFonts w:ascii="Poppins" w:hAnsi="Poppins" w:cs="Poppins"/>
          <w:sz w:val="18"/>
          <w:szCs w:val="18"/>
        </w:rPr>
        <w:t>s</w:t>
      </w:r>
      <w:r w:rsidR="00721E2F">
        <w:rPr>
          <w:rFonts w:ascii="Poppins" w:hAnsi="Poppins" w:cs="Poppins"/>
          <w:sz w:val="18"/>
          <w:szCs w:val="18"/>
        </w:rPr>
        <w:t xml:space="preserve"> </w:t>
      </w:r>
      <w:r w:rsidR="008A33A7">
        <w:rPr>
          <w:rFonts w:ascii="Poppins" w:hAnsi="Poppins" w:cs="Poppins"/>
          <w:sz w:val="18"/>
          <w:szCs w:val="18"/>
        </w:rPr>
        <w:t>resoluci</w:t>
      </w:r>
      <w:r w:rsidR="00AA7D7A">
        <w:rPr>
          <w:rFonts w:ascii="Poppins" w:hAnsi="Poppins" w:cs="Poppins"/>
          <w:sz w:val="18"/>
          <w:szCs w:val="18"/>
        </w:rPr>
        <w:t>o</w:t>
      </w:r>
      <w:r w:rsidR="00E26DC5">
        <w:rPr>
          <w:rFonts w:ascii="Poppins" w:hAnsi="Poppins" w:cs="Poppins"/>
          <w:sz w:val="18"/>
          <w:szCs w:val="18"/>
        </w:rPr>
        <w:t>n</w:t>
      </w:r>
      <w:r w:rsidR="00AA7D7A">
        <w:rPr>
          <w:rFonts w:ascii="Poppins" w:hAnsi="Poppins" w:cs="Poppins"/>
          <w:sz w:val="18"/>
          <w:szCs w:val="18"/>
        </w:rPr>
        <w:t>es</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N° </w:t>
      </w:r>
      <w:r w:rsidR="00E26DC5">
        <w:rPr>
          <w:rFonts w:ascii="Poppins" w:hAnsi="Poppins" w:cs="Poppins"/>
          <w:sz w:val="18"/>
          <w:szCs w:val="18"/>
        </w:rPr>
        <w:t>0</w:t>
      </w:r>
      <w:r w:rsidR="008A0B48">
        <w:rPr>
          <w:rFonts w:ascii="Poppins" w:hAnsi="Poppins" w:cs="Poppins"/>
          <w:sz w:val="18"/>
          <w:szCs w:val="18"/>
        </w:rPr>
        <w:t>06</w:t>
      </w:r>
      <w:r w:rsidR="00E26DC5" w:rsidRPr="0096213B">
        <w:rPr>
          <w:rFonts w:ascii="Poppins" w:hAnsi="Poppins" w:cs="Poppins"/>
          <w:sz w:val="18"/>
          <w:szCs w:val="18"/>
        </w:rPr>
        <w:t>-202</w:t>
      </w:r>
      <w:r w:rsidR="008A0B48">
        <w:rPr>
          <w:rFonts w:ascii="Poppins" w:hAnsi="Poppins" w:cs="Poppins"/>
          <w:sz w:val="18"/>
          <w:szCs w:val="18"/>
        </w:rPr>
        <w:t>6</w:t>
      </w:r>
      <w:r w:rsidR="00E26DC5" w:rsidRPr="0096213B">
        <w:rPr>
          <w:rFonts w:ascii="Poppins" w:hAnsi="Poppins" w:cs="Poppins"/>
          <w:sz w:val="18"/>
          <w:szCs w:val="18"/>
        </w:rPr>
        <w:t>-OS/GRT</w:t>
      </w:r>
      <w:r w:rsidR="00AA7D7A">
        <w:rPr>
          <w:rFonts w:ascii="Poppins" w:hAnsi="Poppins" w:cs="Poppins"/>
          <w:sz w:val="18"/>
          <w:szCs w:val="18"/>
        </w:rPr>
        <w:t xml:space="preserve"> y </w:t>
      </w:r>
      <w:r w:rsidR="00AA7D7A" w:rsidRPr="0096213B">
        <w:rPr>
          <w:rFonts w:ascii="Poppins" w:hAnsi="Poppins" w:cs="Poppins"/>
          <w:sz w:val="18"/>
          <w:szCs w:val="18"/>
        </w:rPr>
        <w:t xml:space="preserve">N° </w:t>
      </w:r>
      <w:r w:rsidR="00AA7D7A">
        <w:rPr>
          <w:rFonts w:ascii="Poppins" w:hAnsi="Poppins" w:cs="Poppins"/>
          <w:sz w:val="18"/>
          <w:szCs w:val="18"/>
        </w:rPr>
        <w:t>008</w:t>
      </w:r>
      <w:r w:rsidR="00AA7D7A" w:rsidRPr="0096213B">
        <w:rPr>
          <w:rFonts w:ascii="Poppins" w:hAnsi="Poppins" w:cs="Poppins"/>
          <w:sz w:val="18"/>
          <w:szCs w:val="18"/>
        </w:rPr>
        <w:t>-202</w:t>
      </w:r>
      <w:r w:rsidR="00AA7D7A">
        <w:rPr>
          <w:rFonts w:ascii="Poppins" w:hAnsi="Poppins" w:cs="Poppins"/>
          <w:sz w:val="18"/>
          <w:szCs w:val="18"/>
        </w:rPr>
        <w:t>6</w:t>
      </w:r>
      <w:r w:rsidR="00AA7D7A" w:rsidRPr="0096213B">
        <w:rPr>
          <w:rFonts w:ascii="Poppins" w:hAnsi="Poppins" w:cs="Poppins"/>
          <w:sz w:val="18"/>
          <w:szCs w:val="18"/>
        </w:rPr>
        <w:t>-OS/GR</w:t>
      </w:r>
      <w:r w:rsidR="00AA7D7A">
        <w:rPr>
          <w:rFonts w:ascii="Poppins" w:hAnsi="Poppins" w:cs="Poppins"/>
          <w:sz w:val="18"/>
          <w:szCs w:val="18"/>
        </w:rPr>
        <w:t>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4950F7">
        <w:rPr>
          <w:rFonts w:ascii="Poppins" w:hAnsi="Poppins" w:cs="Poppins"/>
          <w:sz w:val="18"/>
          <w:szCs w:val="18"/>
        </w:rPr>
        <w:t>2</w:t>
      </w:r>
      <w:r w:rsidR="00802DB1">
        <w:rPr>
          <w:rFonts w:ascii="Poppins" w:hAnsi="Poppins" w:cs="Poppins"/>
          <w:sz w:val="18"/>
          <w:szCs w:val="18"/>
        </w:rPr>
        <w:t>8</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5E1751">
        <w:rPr>
          <w:rFonts w:ascii="Poppins" w:hAnsi="Poppins" w:cs="Poppins"/>
          <w:sz w:val="18"/>
          <w:szCs w:val="18"/>
        </w:rPr>
        <w:t>abril</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802DB1">
        <w:rPr>
          <w:rFonts w:ascii="Poppins" w:hAnsi="Poppins" w:cs="Poppins"/>
          <w:sz w:val="18"/>
          <w:szCs w:val="18"/>
        </w:rPr>
        <w:t>jueves</w:t>
      </w:r>
      <w:r w:rsidR="00E059C7">
        <w:rPr>
          <w:rFonts w:ascii="Poppins" w:hAnsi="Poppins" w:cs="Poppins"/>
          <w:sz w:val="18"/>
          <w:szCs w:val="18"/>
        </w:rPr>
        <w:t xml:space="preserve"> </w:t>
      </w:r>
      <w:r w:rsidR="00802DB1">
        <w:rPr>
          <w:rFonts w:ascii="Poppins" w:hAnsi="Poppins" w:cs="Poppins"/>
          <w:sz w:val="18"/>
          <w:szCs w:val="18"/>
        </w:rPr>
        <w:t>30</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655A5E">
        <w:rPr>
          <w:rFonts w:ascii="Poppins" w:hAnsi="Poppins" w:cs="Poppins"/>
          <w:sz w:val="18"/>
          <w:szCs w:val="18"/>
        </w:rPr>
        <w:t>abril</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6F0DB3DD" w:rsidR="00E804F9" w:rsidRPr="00A01E92"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4950F7">
        <w:rPr>
          <w:rFonts w:ascii="Poppins" w:hAnsi="Poppins" w:cs="Poppins"/>
          <w:sz w:val="18"/>
          <w:szCs w:val="18"/>
        </w:rPr>
        <w:t>2</w:t>
      </w:r>
      <w:r w:rsidR="00802DB1">
        <w:rPr>
          <w:rFonts w:ascii="Poppins" w:hAnsi="Poppins" w:cs="Poppins"/>
          <w:sz w:val="18"/>
          <w:szCs w:val="18"/>
        </w:rPr>
        <w:t>8</w:t>
      </w:r>
      <w:r w:rsidRPr="00A01E92">
        <w:rPr>
          <w:rFonts w:ascii="Poppins" w:hAnsi="Poppins" w:cs="Poppins"/>
          <w:sz w:val="18"/>
          <w:szCs w:val="18"/>
        </w:rPr>
        <w:t>.</w:t>
      </w:r>
      <w:r w:rsidR="005151B0">
        <w:rPr>
          <w:rFonts w:ascii="Poppins" w:hAnsi="Poppins" w:cs="Poppins"/>
          <w:sz w:val="18"/>
          <w:szCs w:val="18"/>
        </w:rPr>
        <w:t>0</w:t>
      </w:r>
      <w:r w:rsidR="00AA7D7A">
        <w:rPr>
          <w:rFonts w:ascii="Poppins" w:hAnsi="Poppins" w:cs="Poppins"/>
          <w:sz w:val="18"/>
          <w:szCs w:val="18"/>
        </w:rPr>
        <w:t>4</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9E527C">
        <w:rPr>
          <w:rFonts w:ascii="Poppins" w:hAnsi="Poppins" w:cs="Poppins"/>
          <w:sz w:val="18"/>
          <w:szCs w:val="18"/>
        </w:rPr>
        <w:t xml:space="preserve"> </w:t>
      </w:r>
      <w:r w:rsidR="00A7646E">
        <w:rPr>
          <w:rFonts w:ascii="Poppins" w:hAnsi="Poppins" w:cs="Poppins"/>
          <w:sz w:val="18"/>
          <w:szCs w:val="18"/>
        </w:rPr>
        <w:t>l</w:t>
      </w:r>
      <w:r w:rsidR="009E527C">
        <w:rPr>
          <w:rFonts w:ascii="Poppins" w:hAnsi="Poppins" w:cs="Poppins"/>
          <w:sz w:val="18"/>
          <w:szCs w:val="18"/>
        </w:rPr>
        <w:t>a</w:t>
      </w:r>
      <w:r w:rsidR="00A7646E">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845353">
        <w:rPr>
          <w:rFonts w:ascii="Poppins" w:hAnsi="Poppins" w:cs="Poppins"/>
          <w:sz w:val="18"/>
          <w:szCs w:val="18"/>
        </w:rPr>
        <w:t>+</w:t>
      </w:r>
      <w:r w:rsidR="00655A5E">
        <w:rPr>
          <w:rFonts w:ascii="Poppins" w:hAnsi="Poppins" w:cs="Poppins"/>
          <w:sz w:val="18"/>
          <w:szCs w:val="18"/>
        </w:rPr>
        <w:t>0</w:t>
      </w:r>
      <w:r w:rsidR="00460518">
        <w:rPr>
          <w:rFonts w:ascii="Poppins" w:hAnsi="Poppins" w:cs="Poppins"/>
          <w:sz w:val="18"/>
          <w:szCs w:val="18"/>
        </w:rPr>
        <w:t>,</w:t>
      </w:r>
      <w:r w:rsidR="00AA7D7A">
        <w:rPr>
          <w:rFonts w:ascii="Poppins" w:hAnsi="Poppins" w:cs="Poppins"/>
          <w:sz w:val="18"/>
          <w:szCs w:val="18"/>
        </w:rPr>
        <w:t>2</w:t>
      </w:r>
      <w:r w:rsidR="00AB5F72">
        <w:rPr>
          <w:rFonts w:ascii="Poppins" w:hAnsi="Poppins" w:cs="Poppins"/>
          <w:sz w:val="18"/>
          <w:szCs w:val="18"/>
        </w:rPr>
        <w:t>7</w:t>
      </w:r>
      <w:r w:rsidR="00093757" w:rsidRPr="00A01E92">
        <w:rPr>
          <w:rFonts w:ascii="Poppins" w:hAnsi="Poppins" w:cs="Poppins"/>
          <w:sz w:val="18"/>
          <w:szCs w:val="18"/>
        </w:rPr>
        <w:t xml:space="preserve"> S/Gln</w:t>
      </w:r>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9C7995">
        <w:rPr>
          <w:rFonts w:ascii="Poppins" w:hAnsi="Poppins" w:cs="Poppins"/>
          <w:sz w:val="18"/>
          <w:szCs w:val="18"/>
        </w:rPr>
        <w:t>+</w:t>
      </w:r>
      <w:r w:rsidR="00655A5E">
        <w:rPr>
          <w:rFonts w:ascii="Poppins" w:hAnsi="Poppins" w:cs="Poppins"/>
          <w:sz w:val="18"/>
          <w:szCs w:val="18"/>
        </w:rPr>
        <w:t>0</w:t>
      </w:r>
      <w:r w:rsidR="00465772" w:rsidRPr="00A01E92">
        <w:rPr>
          <w:rFonts w:ascii="Poppins" w:hAnsi="Poppins" w:cs="Poppins"/>
          <w:sz w:val="18"/>
          <w:szCs w:val="18"/>
        </w:rPr>
        <w:t>,</w:t>
      </w:r>
      <w:r w:rsidR="00AB5F72">
        <w:rPr>
          <w:rFonts w:ascii="Poppins" w:hAnsi="Poppins" w:cs="Poppins"/>
          <w:sz w:val="18"/>
          <w:szCs w:val="18"/>
        </w:rPr>
        <w:t>1</w:t>
      </w:r>
      <w:r w:rsidR="00AA7D7A">
        <w:rPr>
          <w:rFonts w:ascii="Poppins" w:hAnsi="Poppins" w:cs="Poppins"/>
          <w:sz w:val="18"/>
          <w:szCs w:val="18"/>
        </w:rPr>
        <w:t>2</w:t>
      </w:r>
      <w:r w:rsidR="00640D73">
        <w:rPr>
          <w:rFonts w:ascii="Poppins" w:hAnsi="Poppins" w:cs="Poppins"/>
          <w:sz w:val="18"/>
          <w:szCs w:val="18"/>
        </w:rPr>
        <w:t xml:space="preserve"> </w:t>
      </w:r>
      <w:r w:rsidR="00465772" w:rsidRPr="00A01E92">
        <w:rPr>
          <w:rFonts w:ascii="Poppins" w:hAnsi="Poppins" w:cs="Poppins"/>
          <w:sz w:val="18"/>
          <w:szCs w:val="18"/>
        </w:rPr>
        <w:t>S/Gln)</w:t>
      </w:r>
      <w:r w:rsidR="00BC45B5" w:rsidRPr="00A01E92">
        <w:rPr>
          <w:rFonts w:ascii="Poppins" w:hAnsi="Poppins" w:cs="Poppins"/>
          <w:sz w:val="18"/>
          <w:szCs w:val="18"/>
        </w:rPr>
        <w:t xml:space="preserve">, </w:t>
      </w:r>
      <w:r w:rsidR="00845353" w:rsidRPr="00A01E92">
        <w:rPr>
          <w:rFonts w:ascii="Poppins" w:hAnsi="Poppins" w:cs="Poppins"/>
          <w:sz w:val="18"/>
          <w:szCs w:val="18"/>
        </w:rPr>
        <w:t xml:space="preserve">Gasohol </w:t>
      </w:r>
      <w:r w:rsidR="00845353">
        <w:rPr>
          <w:rFonts w:ascii="Poppins" w:hAnsi="Poppins" w:cs="Poppins"/>
          <w:sz w:val="18"/>
          <w:szCs w:val="18"/>
        </w:rPr>
        <w:t>Premium</w:t>
      </w:r>
      <w:r w:rsidR="00845353" w:rsidRPr="00A01E92">
        <w:rPr>
          <w:rFonts w:ascii="Poppins" w:hAnsi="Poppins" w:cs="Poppins"/>
          <w:sz w:val="18"/>
          <w:szCs w:val="18"/>
        </w:rPr>
        <w:t xml:space="preserve"> (</w:t>
      </w:r>
      <w:r w:rsidR="00845353">
        <w:rPr>
          <w:rFonts w:ascii="Poppins" w:hAnsi="Poppins" w:cs="Poppins"/>
          <w:sz w:val="18"/>
          <w:szCs w:val="18"/>
        </w:rPr>
        <w:t>+</w:t>
      </w:r>
      <w:r w:rsidR="00655A5E">
        <w:rPr>
          <w:rFonts w:ascii="Poppins" w:hAnsi="Poppins" w:cs="Poppins"/>
          <w:sz w:val="18"/>
          <w:szCs w:val="18"/>
        </w:rPr>
        <w:t>0</w:t>
      </w:r>
      <w:r w:rsidR="00845353" w:rsidRPr="00A01E92">
        <w:rPr>
          <w:rFonts w:ascii="Poppins" w:hAnsi="Poppins" w:cs="Poppins"/>
          <w:sz w:val="18"/>
          <w:szCs w:val="18"/>
        </w:rPr>
        <w:t>,</w:t>
      </w:r>
      <w:r w:rsidR="00AA7D7A">
        <w:rPr>
          <w:rFonts w:ascii="Poppins" w:hAnsi="Poppins" w:cs="Poppins"/>
          <w:sz w:val="18"/>
          <w:szCs w:val="18"/>
        </w:rPr>
        <w:t>2</w:t>
      </w:r>
      <w:r w:rsidR="00AB5F72">
        <w:rPr>
          <w:rFonts w:ascii="Poppins" w:hAnsi="Poppins" w:cs="Poppins"/>
          <w:sz w:val="18"/>
          <w:szCs w:val="18"/>
        </w:rPr>
        <w:t>4</w:t>
      </w:r>
      <w:r w:rsidR="00845353" w:rsidRPr="00A01E92">
        <w:rPr>
          <w:rFonts w:ascii="Poppins" w:hAnsi="Poppins" w:cs="Poppins"/>
          <w:sz w:val="18"/>
          <w:szCs w:val="18"/>
        </w:rPr>
        <w:t xml:space="preserve"> S/Gln)</w:t>
      </w:r>
      <w:r w:rsidR="00845353">
        <w:rPr>
          <w:rFonts w:ascii="Poppins" w:hAnsi="Poppins" w:cs="Poppins"/>
          <w:sz w:val="18"/>
          <w:szCs w:val="18"/>
        </w:rPr>
        <w:t xml:space="preserve">, </w:t>
      </w:r>
      <w:r w:rsidR="00A01E92" w:rsidRPr="00A01E92">
        <w:rPr>
          <w:rFonts w:ascii="Poppins" w:hAnsi="Poppins" w:cs="Poppins"/>
          <w:sz w:val="18"/>
          <w:szCs w:val="18"/>
        </w:rPr>
        <w:t>Gasohol Regular (</w:t>
      </w:r>
      <w:r w:rsidR="00460518">
        <w:rPr>
          <w:rFonts w:ascii="Poppins" w:hAnsi="Poppins" w:cs="Poppins"/>
          <w:sz w:val="18"/>
          <w:szCs w:val="18"/>
        </w:rPr>
        <w:t>+</w:t>
      </w:r>
      <w:r w:rsidR="00655A5E">
        <w:rPr>
          <w:rFonts w:ascii="Poppins" w:hAnsi="Poppins" w:cs="Poppins"/>
          <w:sz w:val="18"/>
          <w:szCs w:val="18"/>
        </w:rPr>
        <w:t>0</w:t>
      </w:r>
      <w:r w:rsidR="00626502">
        <w:rPr>
          <w:rFonts w:ascii="Poppins" w:hAnsi="Poppins" w:cs="Poppins"/>
          <w:sz w:val="18"/>
          <w:szCs w:val="18"/>
        </w:rPr>
        <w:t>,</w:t>
      </w:r>
      <w:r w:rsidR="00AB5F72">
        <w:rPr>
          <w:rFonts w:ascii="Poppins" w:hAnsi="Poppins" w:cs="Poppins"/>
          <w:sz w:val="18"/>
          <w:szCs w:val="18"/>
        </w:rPr>
        <w:t>10</w:t>
      </w:r>
      <w:r w:rsidR="00626502">
        <w:rPr>
          <w:rFonts w:ascii="Poppins" w:hAnsi="Poppins" w:cs="Poppins"/>
          <w:sz w:val="18"/>
          <w:szCs w:val="18"/>
        </w:rPr>
        <w:t> </w:t>
      </w:r>
      <w:r w:rsidR="00A01E92" w:rsidRPr="00A01E92">
        <w:rPr>
          <w:rFonts w:ascii="Poppins" w:hAnsi="Poppins" w:cs="Poppins"/>
          <w:sz w:val="18"/>
          <w:szCs w:val="18"/>
        </w:rPr>
        <w:t>S/Gln)</w:t>
      </w:r>
      <w:r w:rsidR="00B66A52">
        <w:rPr>
          <w:rFonts w:ascii="Poppins" w:hAnsi="Poppins" w:cs="Poppins"/>
          <w:sz w:val="18"/>
          <w:szCs w:val="18"/>
        </w:rPr>
        <w:t>, Diesel B5 UV S-50</w:t>
      </w:r>
      <w:r w:rsidR="00B66A52" w:rsidRPr="00A01E92">
        <w:rPr>
          <w:rFonts w:ascii="Poppins" w:hAnsi="Poppins" w:cs="Poppins"/>
          <w:sz w:val="18"/>
          <w:szCs w:val="18"/>
        </w:rPr>
        <w:t xml:space="preserve"> (</w:t>
      </w:r>
      <w:r w:rsidR="00AB5F72">
        <w:rPr>
          <w:rFonts w:ascii="Poppins" w:hAnsi="Poppins" w:cs="Poppins"/>
          <w:sz w:val="18"/>
          <w:szCs w:val="18"/>
        </w:rPr>
        <w:t>-</w:t>
      </w:r>
      <w:r w:rsidR="00655A5E">
        <w:rPr>
          <w:rFonts w:ascii="Poppins" w:hAnsi="Poppins" w:cs="Poppins"/>
          <w:sz w:val="18"/>
          <w:szCs w:val="18"/>
        </w:rPr>
        <w:t>0</w:t>
      </w:r>
      <w:r w:rsidR="00B66A52" w:rsidRPr="00A01E92">
        <w:rPr>
          <w:rFonts w:ascii="Poppins" w:hAnsi="Poppins" w:cs="Poppins"/>
          <w:sz w:val="18"/>
          <w:szCs w:val="18"/>
        </w:rPr>
        <w:t>,</w:t>
      </w:r>
      <w:r w:rsidR="00AB5F72">
        <w:rPr>
          <w:rFonts w:ascii="Poppins" w:hAnsi="Poppins" w:cs="Poppins"/>
          <w:sz w:val="18"/>
          <w:szCs w:val="18"/>
        </w:rPr>
        <w:t>6</w:t>
      </w:r>
      <w:r w:rsidR="00AA7D7A">
        <w:rPr>
          <w:rFonts w:ascii="Poppins" w:hAnsi="Poppins" w:cs="Poppins"/>
          <w:sz w:val="18"/>
          <w:szCs w:val="18"/>
        </w:rPr>
        <w:t>8</w:t>
      </w:r>
      <w:r w:rsidR="00B66A52" w:rsidRPr="00A01E92">
        <w:rPr>
          <w:rFonts w:ascii="Poppins" w:hAnsi="Poppins" w:cs="Poppins"/>
          <w:sz w:val="18"/>
          <w:szCs w:val="18"/>
        </w:rPr>
        <w:t xml:space="preserve"> S/Gln)</w:t>
      </w:r>
      <w:r w:rsidR="00655A5E">
        <w:rPr>
          <w:rFonts w:ascii="Poppins" w:hAnsi="Poppins" w:cs="Poppins"/>
          <w:sz w:val="18"/>
          <w:szCs w:val="18"/>
        </w:rPr>
        <w:t xml:space="preserve"> y</w:t>
      </w:r>
      <w:r w:rsidR="00B66A52">
        <w:rPr>
          <w:rFonts w:ascii="Poppins" w:hAnsi="Poppins" w:cs="Poppins"/>
          <w:sz w:val="18"/>
          <w:szCs w:val="18"/>
          <w:lang w:val="es-PE"/>
        </w:rPr>
        <w:t xml:space="preserve"> Diesel B5 S-50</w:t>
      </w:r>
      <w:r w:rsidR="00B66A52" w:rsidRPr="00A01E92">
        <w:rPr>
          <w:rFonts w:ascii="Poppins" w:hAnsi="Poppins" w:cs="Poppins"/>
          <w:sz w:val="18"/>
          <w:szCs w:val="18"/>
        </w:rPr>
        <w:t xml:space="preserve"> (</w:t>
      </w:r>
      <w:r w:rsidR="00AB5F72">
        <w:rPr>
          <w:rFonts w:ascii="Poppins" w:hAnsi="Poppins" w:cs="Poppins"/>
          <w:sz w:val="18"/>
          <w:szCs w:val="18"/>
        </w:rPr>
        <w:t>-</w:t>
      </w:r>
      <w:r w:rsidR="00655A5E">
        <w:rPr>
          <w:rFonts w:ascii="Poppins" w:hAnsi="Poppins" w:cs="Poppins"/>
          <w:sz w:val="18"/>
          <w:szCs w:val="18"/>
        </w:rPr>
        <w:t>0</w:t>
      </w:r>
      <w:r w:rsidR="00B66A52" w:rsidRPr="00A01E92">
        <w:rPr>
          <w:rFonts w:ascii="Poppins" w:hAnsi="Poppins" w:cs="Poppins"/>
          <w:sz w:val="18"/>
          <w:szCs w:val="18"/>
        </w:rPr>
        <w:t>,</w:t>
      </w:r>
      <w:r w:rsidR="00AB5F72">
        <w:rPr>
          <w:rFonts w:ascii="Poppins" w:hAnsi="Poppins" w:cs="Poppins"/>
          <w:sz w:val="18"/>
          <w:szCs w:val="18"/>
        </w:rPr>
        <w:t>6</w:t>
      </w:r>
      <w:r w:rsidR="00AA7D7A">
        <w:rPr>
          <w:rFonts w:ascii="Poppins" w:hAnsi="Poppins" w:cs="Poppins"/>
          <w:sz w:val="18"/>
          <w:szCs w:val="18"/>
        </w:rPr>
        <w:t>8</w:t>
      </w:r>
      <w:r w:rsidR="00B66A52" w:rsidRPr="00A01E92">
        <w:rPr>
          <w:rFonts w:ascii="Poppins" w:hAnsi="Poppins" w:cs="Poppins"/>
          <w:sz w:val="18"/>
          <w:szCs w:val="18"/>
        </w:rPr>
        <w:t xml:space="preserve"> S/Gln</w:t>
      </w:r>
      <w:r w:rsidR="00655A5E">
        <w:rPr>
          <w:rFonts w:ascii="Poppins" w:hAnsi="Poppins" w:cs="Poppins"/>
          <w:sz w:val="18"/>
          <w:szCs w:val="18"/>
        </w:rPr>
        <w:t>)</w:t>
      </w:r>
      <w:r w:rsidR="00804299">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4F927923" w14:textId="2FB3ABD1" w:rsidR="00C87735" w:rsidRDefault="00C87735" w:rsidP="00C87735">
      <w:pPr>
        <w:pStyle w:val="Prrafodelista"/>
        <w:rPr>
          <w:rFonts w:ascii="Poppins" w:hAnsi="Poppins" w:cs="Poppins"/>
          <w:sz w:val="18"/>
          <w:szCs w:val="18"/>
        </w:rPr>
      </w:pPr>
    </w:p>
    <w:p w14:paraId="1AD33F9A" w14:textId="77777777" w:rsidR="00A7646E" w:rsidRDefault="00A7646E"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4E02A366" w14:textId="1E2B92CB" w:rsidR="000A6914" w:rsidRDefault="000A6914" w:rsidP="0082707D">
      <w:pPr>
        <w:pStyle w:val="Sangradetextonormal"/>
        <w:rPr>
          <w:rFonts w:ascii="Poppins" w:hAnsi="Poppins" w:cs="Poppins"/>
          <w:sz w:val="18"/>
          <w:szCs w:val="18"/>
        </w:rPr>
      </w:pPr>
    </w:p>
    <w:p w14:paraId="7A306086" w14:textId="73343C9C" w:rsidR="00486D16" w:rsidRDefault="00486D16" w:rsidP="0082707D">
      <w:pPr>
        <w:pStyle w:val="Sangradetextonormal"/>
        <w:rPr>
          <w:rFonts w:ascii="Poppins" w:hAnsi="Poppins" w:cs="Poppins"/>
          <w:sz w:val="18"/>
          <w:szCs w:val="18"/>
        </w:rPr>
      </w:pPr>
    </w:p>
    <w:p w14:paraId="3606290E" w14:textId="77777777" w:rsidR="009C7995" w:rsidRDefault="009C7995" w:rsidP="0082707D">
      <w:pPr>
        <w:pStyle w:val="Sangradetextonormal"/>
        <w:rPr>
          <w:rFonts w:ascii="Poppins" w:hAnsi="Poppins" w:cs="Poppins"/>
          <w:sz w:val="18"/>
          <w:szCs w:val="18"/>
        </w:rPr>
      </w:pPr>
    </w:p>
    <w:p w14:paraId="2756A4A5" w14:textId="15CEE348" w:rsidR="00486D16" w:rsidRDefault="00486D16" w:rsidP="0082707D">
      <w:pPr>
        <w:pStyle w:val="Sangradetextonormal"/>
        <w:rPr>
          <w:rFonts w:ascii="Poppins" w:hAnsi="Poppins" w:cs="Poppins"/>
          <w:sz w:val="18"/>
          <w:szCs w:val="18"/>
        </w:rPr>
      </w:pPr>
    </w:p>
    <w:p w14:paraId="3CF209FD" w14:textId="77777777" w:rsidR="00D176B1" w:rsidRDefault="00D176B1"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0D64364A" w14:textId="58836463" w:rsidR="00486D16" w:rsidRDefault="00486D16"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5D110450"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4C17EC">
        <w:rPr>
          <w:rFonts w:ascii="Poppins" w:hAnsi="Poppins" w:cs="Poppins"/>
          <w:sz w:val="18"/>
          <w:szCs w:val="18"/>
        </w:rPr>
        <w:t>13</w:t>
      </w:r>
      <w:r w:rsidR="00E7305B">
        <w:rPr>
          <w:rFonts w:ascii="Poppins" w:hAnsi="Poppins" w:cs="Poppins"/>
          <w:sz w:val="18"/>
          <w:szCs w:val="18"/>
        </w:rPr>
        <w:t>/</w:t>
      </w:r>
      <w:r w:rsidR="006B489A">
        <w:rPr>
          <w:rFonts w:ascii="Poppins" w:hAnsi="Poppins" w:cs="Poppins"/>
          <w:sz w:val="18"/>
          <w:szCs w:val="18"/>
        </w:rPr>
        <w:t>0</w:t>
      </w:r>
      <w:r w:rsidR="00C21362">
        <w:rPr>
          <w:rFonts w:ascii="Poppins" w:hAnsi="Poppins" w:cs="Poppins"/>
          <w:sz w:val="18"/>
          <w:szCs w:val="18"/>
        </w:rPr>
        <w:t>4</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4C17EC">
        <w:rPr>
          <w:rFonts w:ascii="Poppins" w:hAnsi="Poppins" w:cs="Poppins"/>
          <w:sz w:val="18"/>
          <w:szCs w:val="18"/>
        </w:rPr>
        <w:t>24</w:t>
      </w:r>
      <w:r w:rsidR="00336251" w:rsidRPr="0096213B">
        <w:rPr>
          <w:rFonts w:ascii="Poppins" w:hAnsi="Poppins" w:cs="Poppins"/>
          <w:sz w:val="18"/>
          <w:szCs w:val="18"/>
        </w:rPr>
        <w:t>/</w:t>
      </w:r>
      <w:r w:rsidR="005151B0">
        <w:rPr>
          <w:rFonts w:ascii="Poppins" w:hAnsi="Poppins" w:cs="Poppins"/>
          <w:sz w:val="18"/>
          <w:szCs w:val="18"/>
        </w:rPr>
        <w:t>0</w:t>
      </w:r>
      <w:r w:rsidR="008F4B7A">
        <w:rPr>
          <w:rFonts w:ascii="Poppins" w:hAnsi="Poppins" w:cs="Poppins"/>
          <w:sz w:val="18"/>
          <w:szCs w:val="18"/>
        </w:rPr>
        <w:t>4</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6E80BCE6"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C21362">
        <w:rPr>
          <w:rFonts w:ascii="Poppins" w:hAnsi="Poppins" w:cs="Poppins"/>
          <w:b/>
          <w:bCs/>
          <w:i/>
          <w:sz w:val="18"/>
          <w:szCs w:val="18"/>
          <w:lang w:eastAsia="es-PE"/>
        </w:rPr>
        <w:t>2</w:t>
      </w:r>
      <w:r w:rsidR="004C17EC">
        <w:rPr>
          <w:rFonts w:ascii="Poppins" w:hAnsi="Poppins" w:cs="Poppins"/>
          <w:b/>
          <w:bCs/>
          <w:i/>
          <w:sz w:val="18"/>
          <w:szCs w:val="18"/>
          <w:lang w:eastAsia="es-PE"/>
        </w:rPr>
        <w:t>7</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8F4B7A">
        <w:rPr>
          <w:rFonts w:ascii="Poppins" w:hAnsi="Poppins" w:cs="Poppins"/>
          <w:b/>
          <w:bCs/>
          <w:i/>
          <w:sz w:val="18"/>
          <w:szCs w:val="18"/>
          <w:lang w:eastAsia="es-PE"/>
        </w:rPr>
        <w:t>4</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3DDC73D3" w:rsidR="00A86191" w:rsidRPr="0096213B" w:rsidRDefault="00685546"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39DC70B5" wp14:editId="5DFEBD68">
            <wp:extent cx="5459105" cy="3088688"/>
            <wp:effectExtent l="0" t="0" r="825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5743" cy="3109417"/>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724613F2" w:rsidR="00E812D9"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D354A1">
        <w:rPr>
          <w:rFonts w:ascii="Poppins" w:hAnsi="Poppins" w:cs="Poppins"/>
          <w:sz w:val="18"/>
          <w:szCs w:val="18"/>
        </w:rPr>
        <w:t>8</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685546">
        <w:rPr>
          <w:rFonts w:ascii="Poppins" w:hAnsi="Poppins" w:cs="Poppins"/>
          <w:sz w:val="18"/>
          <w:szCs w:val="18"/>
        </w:rPr>
        <w:t>1</w:t>
      </w:r>
      <w:r w:rsidR="00893F38" w:rsidRPr="0096213B">
        <w:rPr>
          <w:rFonts w:ascii="Poppins" w:hAnsi="Poppins" w:cs="Poppins"/>
          <w:sz w:val="18"/>
          <w:szCs w:val="18"/>
        </w:rPr>
        <w:t xml:space="preserve">% y </w:t>
      </w:r>
      <w:r w:rsidRPr="0096213B">
        <w:rPr>
          <w:rFonts w:ascii="Poppins" w:hAnsi="Poppins" w:cs="Poppins"/>
          <w:sz w:val="18"/>
          <w:szCs w:val="18"/>
        </w:rPr>
        <w:t>9</w:t>
      </w:r>
      <w:r w:rsidR="00C21362">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C21362">
        <w:rPr>
          <w:rFonts w:ascii="Poppins" w:hAnsi="Poppins" w:cs="Poppins"/>
          <w:sz w:val="18"/>
          <w:szCs w:val="18"/>
        </w:rPr>
        <w:t>75</w:t>
      </w:r>
      <w:r w:rsidR="00282C40">
        <w:rPr>
          <w:rFonts w:ascii="Poppins" w:hAnsi="Poppins" w:cs="Poppins"/>
          <w:sz w:val="18"/>
          <w:szCs w:val="18"/>
        </w:rPr>
        <w:t>%</w:t>
      </w:r>
      <w:r w:rsidR="007D1505">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9F5152">
        <w:rPr>
          <w:rFonts w:ascii="Poppins" w:hAnsi="Poppins" w:cs="Poppins"/>
          <w:sz w:val="18"/>
          <w:szCs w:val="18"/>
        </w:rPr>
        <w:t>3</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6A551B19"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C21362">
        <w:rPr>
          <w:rFonts w:ascii="Poppins" w:hAnsi="Poppins" w:cs="Poppins"/>
          <w:sz w:val="18"/>
          <w:szCs w:val="18"/>
        </w:rPr>
        <w:t>2</w:t>
      </w:r>
      <w:r w:rsidR="00685546">
        <w:rPr>
          <w:rFonts w:ascii="Poppins" w:hAnsi="Poppins" w:cs="Poppins"/>
          <w:sz w:val="18"/>
          <w:szCs w:val="18"/>
        </w:rPr>
        <w:t>7</w:t>
      </w:r>
      <w:r w:rsidR="00F07057">
        <w:rPr>
          <w:rFonts w:ascii="Poppins" w:hAnsi="Poppins" w:cs="Poppins"/>
          <w:sz w:val="18"/>
          <w:szCs w:val="18"/>
        </w:rPr>
        <w:t xml:space="preserve"> </w:t>
      </w:r>
      <w:r w:rsidRPr="0096213B">
        <w:rPr>
          <w:rFonts w:ascii="Poppins" w:hAnsi="Poppins" w:cs="Poppins"/>
          <w:sz w:val="18"/>
          <w:szCs w:val="18"/>
        </w:rPr>
        <w:t xml:space="preserve">de </w:t>
      </w:r>
      <w:r w:rsidR="008F4B7A">
        <w:rPr>
          <w:rFonts w:ascii="Poppins" w:hAnsi="Poppins" w:cs="Poppins"/>
          <w:sz w:val="18"/>
          <w:szCs w:val="18"/>
        </w:rPr>
        <w:t>abril</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185C8C87"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685546">
        <w:rPr>
          <w:rFonts w:ascii="Poppins" w:hAnsi="Poppins" w:cs="Poppins"/>
          <w:sz w:val="18"/>
          <w:szCs w:val="18"/>
        </w:rPr>
        <w:t>1</w:t>
      </w:r>
      <w:r w:rsidR="00C21362">
        <w:rPr>
          <w:rFonts w:ascii="Poppins" w:hAnsi="Poppins" w:cs="Poppins"/>
          <w:sz w:val="18"/>
          <w:szCs w:val="18"/>
        </w:rPr>
        <w:t>9</w:t>
      </w:r>
      <w:r w:rsidR="00A33C99" w:rsidRPr="0096213B">
        <w:rPr>
          <w:rFonts w:ascii="Poppins" w:hAnsi="Poppins" w:cs="Poppins"/>
          <w:sz w:val="18"/>
          <w:szCs w:val="18"/>
        </w:rPr>
        <w:t>,</w:t>
      </w:r>
      <w:r w:rsidR="00685546">
        <w:rPr>
          <w:rFonts w:ascii="Poppins" w:hAnsi="Poppins" w:cs="Poppins"/>
          <w:sz w:val="18"/>
          <w:szCs w:val="18"/>
        </w:rPr>
        <w:t>05</w:t>
      </w:r>
      <w:r w:rsidR="00A33C99" w:rsidRPr="0096213B">
        <w:rPr>
          <w:rFonts w:ascii="Poppins" w:hAnsi="Poppins" w:cs="Poppins"/>
          <w:sz w:val="18"/>
          <w:szCs w:val="18"/>
        </w:rPr>
        <w:t xml:space="preserve"> cent$/galón equivalente a </w:t>
      </w:r>
      <w:r w:rsidR="00685546">
        <w:rPr>
          <w:rFonts w:ascii="Poppins" w:hAnsi="Poppins" w:cs="Poppins"/>
          <w:sz w:val="18"/>
          <w:szCs w:val="18"/>
        </w:rPr>
        <w:t>8</w:t>
      </w:r>
      <w:r w:rsidR="00A33C99" w:rsidRPr="0096213B">
        <w:rPr>
          <w:rFonts w:ascii="Poppins" w:hAnsi="Poppins" w:cs="Poppins"/>
          <w:sz w:val="18"/>
          <w:szCs w:val="18"/>
        </w:rPr>
        <w:t>,</w:t>
      </w:r>
      <w:r w:rsidR="00685546">
        <w:rPr>
          <w:rFonts w:ascii="Poppins" w:hAnsi="Poppins" w:cs="Poppins"/>
          <w:sz w:val="18"/>
          <w:szCs w:val="18"/>
        </w:rPr>
        <w:t>00</w:t>
      </w:r>
      <w:r w:rsidR="00A33C99" w:rsidRPr="0096213B">
        <w:rPr>
          <w:rFonts w:ascii="Poppins" w:hAnsi="Poppins" w:cs="Poppins"/>
          <w:sz w:val="18"/>
          <w:szCs w:val="18"/>
        </w:rPr>
        <w:t xml:space="preserve"> US$/Bl.</w:t>
      </w:r>
    </w:p>
    <w:p w14:paraId="6ADD84E1" w14:textId="77777777" w:rsidR="00E60C43" w:rsidRPr="00EE493C" w:rsidRDefault="00E60C43" w:rsidP="00E812D9">
      <w:pPr>
        <w:pStyle w:val="Prrafodelista"/>
        <w:ind w:left="426" w:hanging="426"/>
        <w:jc w:val="center"/>
        <w:rPr>
          <w:rFonts w:ascii="Poppins" w:hAnsi="Poppins" w:cs="Poppins"/>
          <w:sz w:val="18"/>
          <w:szCs w:val="18"/>
          <w:lang w:val="es-PE"/>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30045D43"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8F4B7A">
        <w:rPr>
          <w:rFonts w:ascii="Poppins" w:hAnsi="Poppins" w:cs="Poppins"/>
          <w:sz w:val="18"/>
          <w:szCs w:val="18"/>
        </w:rPr>
        <w:t>1</w:t>
      </w:r>
      <w:r w:rsidR="00685546">
        <w:rPr>
          <w:rFonts w:ascii="Poppins" w:hAnsi="Poppins" w:cs="Poppins"/>
          <w:sz w:val="18"/>
          <w:szCs w:val="18"/>
        </w:rPr>
        <w:t>2</w:t>
      </w:r>
      <w:r w:rsidR="00E0028D">
        <w:rPr>
          <w:rFonts w:ascii="Poppins" w:hAnsi="Poppins" w:cs="Poppins"/>
          <w:sz w:val="18"/>
          <w:szCs w:val="18"/>
        </w:rPr>
        <w:t>,</w:t>
      </w:r>
      <w:r w:rsidR="00685546">
        <w:rPr>
          <w:rFonts w:ascii="Poppins" w:hAnsi="Poppins" w:cs="Poppins"/>
          <w:sz w:val="18"/>
          <w:szCs w:val="18"/>
        </w:rPr>
        <w:t>03</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0183C090"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D1505">
        <w:rPr>
          <w:rFonts w:ascii="Poppins" w:hAnsi="Poppins" w:cs="Poppins"/>
          <w:sz w:val="18"/>
          <w:szCs w:val="18"/>
        </w:rPr>
        <w:t>-1</w:t>
      </w:r>
      <w:r w:rsidR="00937A88">
        <w:rPr>
          <w:rFonts w:ascii="Poppins" w:hAnsi="Poppins" w:cs="Poppins"/>
          <w:sz w:val="18"/>
          <w:szCs w:val="18"/>
        </w:rPr>
        <w:t>,</w:t>
      </w:r>
      <w:r w:rsidR="007D1505">
        <w:rPr>
          <w:rFonts w:ascii="Poppins" w:hAnsi="Poppins" w:cs="Poppins"/>
          <w:sz w:val="18"/>
          <w:szCs w:val="18"/>
        </w:rPr>
        <w:t>0</w:t>
      </w:r>
      <w:r w:rsidR="00891665">
        <w:rPr>
          <w:rFonts w:ascii="Poppins" w:hAnsi="Poppins" w:cs="Poppins"/>
          <w:sz w:val="18"/>
          <w:szCs w:val="18"/>
        </w:rPr>
        <w:t>3</w:t>
      </w:r>
      <w:r w:rsidRPr="0096213B">
        <w:rPr>
          <w:rFonts w:ascii="Poppins" w:hAnsi="Poppins" w:cs="Poppins"/>
          <w:sz w:val="18"/>
          <w:szCs w:val="18"/>
        </w:rPr>
        <w:t xml:space="preserve"> US$/Bl para la Gasolina Premium y un ajuste de </w:t>
      </w:r>
      <w:r w:rsidR="00937A88">
        <w:rPr>
          <w:rFonts w:ascii="Poppins" w:hAnsi="Poppins" w:cs="Poppins"/>
          <w:sz w:val="18"/>
          <w:szCs w:val="18"/>
        </w:rPr>
        <w:t>-</w:t>
      </w:r>
      <w:r w:rsidR="00227FD3">
        <w:rPr>
          <w:rFonts w:ascii="Poppins" w:hAnsi="Poppins" w:cs="Poppins"/>
          <w:sz w:val="18"/>
          <w:szCs w:val="18"/>
        </w:rPr>
        <w:t>0</w:t>
      </w:r>
      <w:r w:rsidR="00513E2B" w:rsidRPr="0096213B">
        <w:rPr>
          <w:rFonts w:ascii="Poppins" w:hAnsi="Poppins" w:cs="Poppins"/>
          <w:sz w:val="18"/>
          <w:szCs w:val="18"/>
        </w:rPr>
        <w:t>,</w:t>
      </w:r>
      <w:r w:rsidR="008F4B7A">
        <w:rPr>
          <w:rFonts w:ascii="Poppins" w:hAnsi="Poppins" w:cs="Poppins"/>
          <w:sz w:val="18"/>
          <w:szCs w:val="18"/>
        </w:rPr>
        <w:t>9</w:t>
      </w:r>
      <w:r w:rsidR="00C21362">
        <w:rPr>
          <w:rFonts w:ascii="Poppins" w:hAnsi="Poppins" w:cs="Poppins"/>
          <w:sz w:val="18"/>
          <w:szCs w:val="18"/>
        </w:rPr>
        <w:t>2</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27D92484"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891665">
        <w:rPr>
          <w:rFonts w:ascii="Poppins" w:hAnsi="Poppins" w:cs="Poppins"/>
          <w:sz w:val="18"/>
          <w:szCs w:val="18"/>
        </w:rPr>
        <w:t>29</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891665">
        <w:rPr>
          <w:rFonts w:ascii="Poppins" w:hAnsi="Poppins" w:cs="Poppins"/>
          <w:sz w:val="18"/>
          <w:szCs w:val="18"/>
        </w:rPr>
        <w:t>6</w:t>
      </w:r>
      <w:r w:rsidR="008508AE">
        <w:rPr>
          <w:rFonts w:ascii="Poppins" w:hAnsi="Poppins" w:cs="Poppins"/>
          <w:sz w:val="18"/>
          <w:szCs w:val="18"/>
        </w:rPr>
        <w:t>,</w:t>
      </w:r>
      <w:r w:rsidR="00891665">
        <w:rPr>
          <w:rFonts w:ascii="Poppins" w:hAnsi="Poppins" w:cs="Poppins"/>
          <w:sz w:val="18"/>
          <w:szCs w:val="18"/>
        </w:rPr>
        <w:t>97</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4391FA59"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8106C7">
        <w:rPr>
          <w:rFonts w:ascii="Poppins" w:hAnsi="Poppins" w:cs="Poppins"/>
          <w:sz w:val="18"/>
          <w:szCs w:val="18"/>
        </w:rPr>
        <w:t>1</w:t>
      </w:r>
      <w:r w:rsidR="00685546">
        <w:rPr>
          <w:rFonts w:ascii="Poppins" w:hAnsi="Poppins" w:cs="Poppins"/>
          <w:sz w:val="18"/>
          <w:szCs w:val="18"/>
        </w:rPr>
        <w:t>2</w:t>
      </w:r>
      <w:r w:rsidR="00110925">
        <w:rPr>
          <w:rFonts w:ascii="Poppins" w:hAnsi="Poppins" w:cs="Poppins"/>
          <w:sz w:val="18"/>
          <w:szCs w:val="18"/>
        </w:rPr>
        <w:t>,</w:t>
      </w:r>
      <w:r w:rsidR="00685546">
        <w:rPr>
          <w:rFonts w:ascii="Poppins" w:hAnsi="Poppins" w:cs="Poppins"/>
          <w:sz w:val="18"/>
          <w:szCs w:val="18"/>
        </w:rPr>
        <w:t>03</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467C4674"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CA2186">
        <w:rPr>
          <w:rFonts w:ascii="Poppins" w:hAnsi="Poppins" w:cs="Poppins"/>
          <w:bCs/>
          <w:sz w:val="18"/>
          <w:szCs w:val="18"/>
        </w:rPr>
        <w:t>6</w:t>
      </w:r>
      <w:r w:rsidRPr="004C5B09">
        <w:rPr>
          <w:rFonts w:ascii="Poppins" w:hAnsi="Poppins" w:cs="Poppins"/>
          <w:bCs/>
          <w:sz w:val="18"/>
          <w:szCs w:val="18"/>
        </w:rPr>
        <w:t>,</w:t>
      </w:r>
      <w:r w:rsidR="00C21362">
        <w:rPr>
          <w:rFonts w:ascii="Poppins" w:hAnsi="Poppins" w:cs="Poppins"/>
          <w:bCs/>
          <w:sz w:val="18"/>
          <w:szCs w:val="18"/>
        </w:rPr>
        <w:t>85</w:t>
      </w:r>
      <w:r w:rsidRPr="004C5B09">
        <w:rPr>
          <w:rFonts w:ascii="Poppins" w:hAnsi="Poppins" w:cs="Poppins"/>
          <w:bCs/>
          <w:sz w:val="18"/>
          <w:szCs w:val="18"/>
        </w:rPr>
        <w:t xml:space="preserve"> </w:t>
      </w:r>
      <w:r w:rsidR="00B42047" w:rsidRPr="004C5B09">
        <w:rPr>
          <w:rFonts w:ascii="Poppins" w:hAnsi="Poppins" w:cs="Poppins"/>
          <w:bCs/>
          <w:sz w:val="18"/>
          <w:szCs w:val="18"/>
        </w:rPr>
        <w:t>US$/Bl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190A5BDF"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891665">
        <w:rPr>
          <w:rFonts w:ascii="Poppins" w:hAnsi="Poppins" w:cs="Poppins"/>
          <w:sz w:val="18"/>
          <w:szCs w:val="18"/>
        </w:rPr>
        <w:t>1</w:t>
      </w:r>
      <w:r w:rsidR="00F66E81" w:rsidRPr="0096213B">
        <w:rPr>
          <w:rFonts w:ascii="Poppins" w:hAnsi="Poppins" w:cs="Poppins"/>
          <w:sz w:val="18"/>
          <w:szCs w:val="18"/>
        </w:rPr>
        <w:t>,</w:t>
      </w:r>
      <w:r w:rsidR="00891665">
        <w:rPr>
          <w:rFonts w:ascii="Poppins" w:hAnsi="Poppins" w:cs="Poppins"/>
          <w:sz w:val="18"/>
          <w:szCs w:val="18"/>
        </w:rPr>
        <w:t>45</w:t>
      </w:r>
      <w:r w:rsidR="00BF1449">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440E8CD3"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891665">
        <w:rPr>
          <w:rFonts w:ascii="Poppins" w:hAnsi="Poppins" w:cs="Poppins"/>
          <w:sz w:val="18"/>
          <w:szCs w:val="18"/>
          <w:lang w:eastAsia="en-US"/>
        </w:rPr>
        <w:t>79</w:t>
      </w:r>
      <w:r w:rsidR="002C3713" w:rsidRPr="00881E39">
        <w:rPr>
          <w:rFonts w:ascii="Poppins" w:hAnsi="Poppins" w:cs="Poppins"/>
          <w:sz w:val="18"/>
          <w:szCs w:val="18"/>
          <w:lang w:eastAsia="en-US"/>
        </w:rPr>
        <w:t xml:space="preserve"> US$/Bl</w:t>
      </w:r>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891665">
        <w:rPr>
          <w:rFonts w:ascii="Poppins" w:hAnsi="Poppins" w:cs="Poppins"/>
          <w:sz w:val="18"/>
          <w:szCs w:val="18"/>
          <w:lang w:eastAsia="en-US"/>
        </w:rPr>
        <w:t>2</w:t>
      </w:r>
      <w:r w:rsidR="007D44FD" w:rsidRPr="00881E39">
        <w:rPr>
          <w:rFonts w:ascii="Poppins" w:hAnsi="Poppins" w:cs="Poppins"/>
          <w:sz w:val="18"/>
          <w:szCs w:val="18"/>
          <w:lang w:eastAsia="en-US"/>
        </w:rPr>
        <w:t>,</w:t>
      </w:r>
      <w:r w:rsidR="00891665">
        <w:rPr>
          <w:rFonts w:ascii="Poppins" w:hAnsi="Poppins" w:cs="Poppins"/>
          <w:sz w:val="18"/>
          <w:szCs w:val="18"/>
          <w:lang w:eastAsia="en-US"/>
        </w:rPr>
        <w:t>12</w:t>
      </w:r>
      <w:r w:rsidR="002C3713" w:rsidRPr="00881E39">
        <w:rPr>
          <w:rFonts w:ascii="Poppins" w:hAnsi="Poppins" w:cs="Poppins"/>
          <w:sz w:val="18"/>
          <w:szCs w:val="18"/>
          <w:lang w:eastAsia="en-US"/>
        </w:rPr>
        <w:t xml:space="preserve"> US$/Bl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891665">
        <w:rPr>
          <w:rFonts w:ascii="Poppins" w:hAnsi="Poppins" w:cs="Poppins"/>
          <w:sz w:val="18"/>
          <w:szCs w:val="18"/>
          <w:lang w:eastAsia="en-US"/>
        </w:rPr>
        <w:t>2</w:t>
      </w:r>
      <w:r w:rsidR="007D44FD" w:rsidRPr="00881E39">
        <w:rPr>
          <w:rFonts w:ascii="Poppins" w:hAnsi="Poppins" w:cs="Poppins"/>
          <w:sz w:val="18"/>
          <w:szCs w:val="18"/>
          <w:lang w:eastAsia="en-US"/>
        </w:rPr>
        <w:t>,</w:t>
      </w:r>
      <w:r w:rsidR="00891665">
        <w:rPr>
          <w:rFonts w:ascii="Poppins" w:hAnsi="Poppins" w:cs="Poppins"/>
          <w:sz w:val="18"/>
          <w:szCs w:val="18"/>
          <w:lang w:eastAsia="en-US"/>
        </w:rPr>
        <w:t>12</w:t>
      </w:r>
      <w:r w:rsidR="002C3713" w:rsidRPr="00881E39">
        <w:rPr>
          <w:rFonts w:ascii="Poppins" w:hAnsi="Poppins" w:cs="Poppins"/>
          <w:sz w:val="18"/>
          <w:szCs w:val="18"/>
          <w:lang w:eastAsia="en-US"/>
        </w:rPr>
        <w:t xml:space="preserve"> US$/</w:t>
      </w:r>
      <w:r w:rsidR="002C3713" w:rsidRPr="00A3027B">
        <w:rPr>
          <w:rFonts w:ascii="Poppins" w:hAnsi="Poppins" w:cs="Poppins"/>
          <w:sz w:val="18"/>
          <w:szCs w:val="18"/>
          <w:lang w:eastAsia="en-US"/>
        </w:rPr>
        <w:t>Bl</w:t>
      </w:r>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1B9CCC"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8106C7">
        <w:rPr>
          <w:rFonts w:ascii="Poppins" w:hAnsi="Poppins" w:cs="Poppins"/>
          <w:sz w:val="18"/>
          <w:szCs w:val="18"/>
          <w:lang w:eastAsia="en-US"/>
        </w:rPr>
        <w:t>5</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718721DE"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8106C7">
        <w:rPr>
          <w:rFonts w:ascii="Poppins" w:hAnsi="Poppins" w:cs="Poppins"/>
          <w:sz w:val="18"/>
          <w:szCs w:val="18"/>
          <w:lang w:eastAsia="en-US"/>
        </w:rPr>
        <w:t>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0EC1E110"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8106C7">
        <w:rPr>
          <w:rFonts w:ascii="Poppins" w:hAnsi="Poppins" w:cs="Poppins"/>
          <w:sz w:val="18"/>
          <w:szCs w:val="18"/>
          <w:lang w:eastAsia="en-US"/>
        </w:rPr>
        <w:t>4</w:t>
      </w:r>
      <w:r w:rsidRPr="0096213B">
        <w:rPr>
          <w:rFonts w:ascii="Poppins" w:hAnsi="Poppins" w:cs="Poppins"/>
          <w:sz w:val="18"/>
          <w:szCs w:val="18"/>
          <w:lang w:eastAsia="en-US"/>
        </w:rPr>
        <w:t>%), Etanol (0,</w:t>
      </w:r>
      <w:r w:rsidR="008106C7">
        <w:rPr>
          <w:rFonts w:ascii="Poppins" w:hAnsi="Poppins" w:cs="Poppins"/>
          <w:sz w:val="18"/>
          <w:szCs w:val="18"/>
          <w:lang w:eastAsia="en-US"/>
        </w:rPr>
        <w:t>20</w:t>
      </w:r>
      <w:r w:rsidRPr="0096213B">
        <w:rPr>
          <w:rFonts w:ascii="Poppins" w:hAnsi="Poppins" w:cs="Poppins"/>
          <w:sz w:val="18"/>
          <w:szCs w:val="18"/>
          <w:lang w:eastAsia="en-US"/>
        </w:rPr>
        <w:t>%), Gasolinas (0,0</w:t>
      </w:r>
      <w:r w:rsidR="008106C7">
        <w:rPr>
          <w:rFonts w:ascii="Poppins" w:hAnsi="Poppins" w:cs="Poppins"/>
          <w:sz w:val="18"/>
          <w:szCs w:val="18"/>
          <w:lang w:eastAsia="en-US"/>
        </w:rPr>
        <w:t>5</w:t>
      </w:r>
      <w:r w:rsidRPr="0096213B">
        <w:rPr>
          <w:rFonts w:ascii="Poppins" w:hAnsi="Poppins" w:cs="Poppins"/>
          <w:sz w:val="18"/>
          <w:szCs w:val="18"/>
          <w:lang w:eastAsia="en-US"/>
        </w:rPr>
        <w:t>%), GLP (0,</w:t>
      </w:r>
      <w:r w:rsidR="008106C7">
        <w:rPr>
          <w:rFonts w:ascii="Poppins" w:hAnsi="Poppins" w:cs="Poppins"/>
          <w:sz w:val="18"/>
          <w:szCs w:val="18"/>
          <w:lang w:eastAsia="en-US"/>
        </w:rPr>
        <w:t>04</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8106C7">
        <w:rPr>
          <w:rFonts w:ascii="Poppins" w:hAnsi="Poppins" w:cs="Poppins"/>
          <w:sz w:val="18"/>
          <w:szCs w:val="18"/>
          <w:lang w:eastAsia="en-US"/>
        </w:rPr>
        <w:t>3</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w:t>
      </w:r>
      <w:r w:rsidR="008106C7">
        <w:rPr>
          <w:rFonts w:ascii="Poppins" w:hAnsi="Poppins" w:cs="Poppins"/>
          <w:sz w:val="18"/>
          <w:szCs w:val="18"/>
          <w:lang w:eastAsia="en-US"/>
        </w:rPr>
        <w:t>6</w:t>
      </w:r>
      <w:r w:rsidR="00CD3200" w:rsidRPr="0096213B">
        <w:rPr>
          <w:rFonts w:ascii="Poppins" w:hAnsi="Poppins" w:cs="Poppins"/>
          <w:sz w:val="18"/>
          <w:szCs w:val="18"/>
          <w:lang w:eastAsia="en-US"/>
        </w:rPr>
        <w:t>%)</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05B4035A"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8106C7">
        <w:rPr>
          <w:rFonts w:ascii="Poppins" w:hAnsi="Poppins" w:cs="Poppins"/>
          <w:sz w:val="18"/>
          <w:szCs w:val="18"/>
          <w:lang w:eastAsia="en-US"/>
        </w:rPr>
        <w:t>7</w:t>
      </w:r>
      <w:r w:rsidR="009E085E" w:rsidRPr="0096213B">
        <w:rPr>
          <w:rFonts w:ascii="Poppins" w:hAnsi="Poppins" w:cs="Poppins"/>
          <w:sz w:val="18"/>
          <w:szCs w:val="18"/>
          <w:lang w:eastAsia="en-US"/>
        </w:rPr>
        <w:t>,</w:t>
      </w:r>
      <w:r w:rsidR="00634875">
        <w:rPr>
          <w:rFonts w:ascii="Poppins" w:hAnsi="Poppins" w:cs="Poppins"/>
          <w:sz w:val="18"/>
          <w:szCs w:val="18"/>
          <w:lang w:eastAsia="en-US"/>
        </w:rPr>
        <w:t>9</w:t>
      </w:r>
      <w:r w:rsidR="008106C7">
        <w:rPr>
          <w:rFonts w:ascii="Poppins" w:hAnsi="Poppins" w:cs="Poppins"/>
          <w:sz w:val="18"/>
          <w:szCs w:val="18"/>
          <w:lang w:eastAsia="en-US"/>
        </w:rPr>
        <w:t>9</w:t>
      </w:r>
      <w:r w:rsidR="009E085E" w:rsidRPr="0096213B">
        <w:rPr>
          <w:rFonts w:ascii="Poppins" w:hAnsi="Poppins" w:cs="Poppins"/>
          <w:sz w:val="18"/>
          <w:szCs w:val="18"/>
          <w:lang w:eastAsia="en-US"/>
        </w:rPr>
        <w:t xml:space="preserve"> US$/TM)</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3AB2F79"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7"/>
          <w:footerReference w:type="default" r:id="rId18"/>
          <w:headerReference w:type="first" r:id="rId19"/>
          <w:footerReference w:type="first" r:id="rId20"/>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w:t>
      </w:r>
      <w:r w:rsidR="008106C7">
        <w:rPr>
          <w:rFonts w:ascii="Poppins" w:hAnsi="Poppins" w:cs="Poppins"/>
          <w:sz w:val="18"/>
          <w:szCs w:val="18"/>
          <w:lang w:eastAsia="en-US"/>
        </w:rPr>
        <w:t>0</w:t>
      </w:r>
      <w:r w:rsidRPr="0096213B">
        <w:rPr>
          <w:rFonts w:ascii="Poppins" w:hAnsi="Poppins" w:cs="Poppins"/>
          <w:sz w:val="18"/>
          <w:szCs w:val="18"/>
          <w:lang w:eastAsia="en-US"/>
        </w:rPr>
        <w:t>,</w:t>
      </w:r>
      <w:r w:rsidR="008106C7">
        <w:rPr>
          <w:rFonts w:ascii="Poppins" w:hAnsi="Poppins" w:cs="Poppins"/>
          <w:sz w:val="18"/>
          <w:szCs w:val="18"/>
          <w:lang w:eastAsia="en-US"/>
        </w:rPr>
        <w:t>15</w:t>
      </w:r>
      <w:r w:rsidRPr="0096213B">
        <w:rPr>
          <w:rFonts w:ascii="Poppins" w:hAnsi="Poppins" w:cs="Poppins"/>
          <w:sz w:val="18"/>
          <w:szCs w:val="18"/>
          <w:lang w:eastAsia="en-US"/>
        </w:rPr>
        <w:t xml:space="preserve"> US$/Bl), GLP (</w:t>
      </w:r>
      <w:r w:rsidR="008106C7">
        <w:rPr>
          <w:rFonts w:ascii="Poppins" w:hAnsi="Poppins" w:cs="Poppins"/>
          <w:sz w:val="18"/>
          <w:szCs w:val="18"/>
          <w:lang w:eastAsia="en-US"/>
        </w:rPr>
        <w:t>1</w:t>
      </w:r>
      <w:r w:rsidRPr="0096213B">
        <w:rPr>
          <w:rFonts w:ascii="Poppins" w:hAnsi="Poppins" w:cs="Poppins"/>
          <w:sz w:val="18"/>
          <w:szCs w:val="18"/>
          <w:lang w:eastAsia="en-US"/>
        </w:rPr>
        <w:t>,</w:t>
      </w:r>
      <w:r w:rsidR="008106C7">
        <w:rPr>
          <w:rFonts w:ascii="Poppins" w:hAnsi="Poppins" w:cs="Poppins"/>
          <w:sz w:val="18"/>
          <w:szCs w:val="18"/>
          <w:lang w:eastAsia="en-US"/>
        </w:rPr>
        <w:t>34</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8106C7">
        <w:rPr>
          <w:rFonts w:ascii="Poppins" w:hAnsi="Poppins" w:cs="Poppins"/>
          <w:sz w:val="18"/>
          <w:szCs w:val="18"/>
          <w:lang w:eastAsia="en-US"/>
        </w:rPr>
        <w:t>11</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TABLA N°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27B20F9A" w:rsidR="006B489A" w:rsidRDefault="0076591B" w:rsidP="00352553">
            <w:pPr>
              <w:rPr>
                <w:rFonts w:ascii="Poppins" w:hAnsi="Poppins" w:cs="Poppins"/>
                <w:i/>
                <w:iCs/>
                <w:sz w:val="14"/>
                <w:szCs w:val="14"/>
                <w:lang w:val="es-MX" w:eastAsia="en-US"/>
              </w:rPr>
            </w:pPr>
            <w:r w:rsidRPr="0076591B">
              <w:rPr>
                <w:rFonts w:ascii="Poppins" w:hAnsi="Poppins" w:cs="Poppins"/>
                <w:i/>
                <w:iCs/>
                <w:sz w:val="14"/>
                <w:szCs w:val="14"/>
                <w:lang w:val="es-MX" w:eastAsia="en-US"/>
              </w:rPr>
              <w:t xml:space="preserve"> </w:t>
            </w:r>
            <w:r w:rsidR="00891665" w:rsidRPr="00891665">
              <w:rPr>
                <w:rFonts w:ascii="Poppins" w:hAnsi="Poppins" w:cs="Poppins"/>
                <w:i/>
                <w:iCs/>
                <w:noProof/>
                <w:sz w:val="14"/>
                <w:szCs w:val="14"/>
                <w:lang w:val="es-MX" w:eastAsia="en-US"/>
              </w:rPr>
              <w:drawing>
                <wp:inline distT="0" distB="0" distL="0" distR="0" wp14:anchorId="20EA3AE1" wp14:editId="24FD6255">
                  <wp:extent cx="8168005" cy="2995930"/>
                  <wp:effectExtent l="0" t="0" r="444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168005" cy="2995930"/>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2"/>
          <w:headerReference w:type="first" r:id="rId23"/>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2FB18495" w:rsidR="000F7442" w:rsidRPr="0096213B" w:rsidRDefault="00FB671F" w:rsidP="000F7442">
            <w:pPr>
              <w:jc w:val="center"/>
              <w:rPr>
                <w:rFonts w:ascii="Poppins" w:hAnsi="Poppins" w:cs="Poppins"/>
                <w:sz w:val="8"/>
                <w:szCs w:val="20"/>
              </w:rPr>
            </w:pPr>
            <w:r w:rsidRPr="00FB671F">
              <w:rPr>
                <w:rFonts w:ascii="Poppins" w:hAnsi="Poppins" w:cs="Poppins"/>
                <w:noProof/>
                <w:sz w:val="8"/>
                <w:szCs w:val="20"/>
              </w:rPr>
              <w:drawing>
                <wp:inline distT="0" distB="0" distL="0" distR="0" wp14:anchorId="069C5E4F" wp14:editId="19AD7D6D">
                  <wp:extent cx="3567430" cy="2844165"/>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7430" cy="2844165"/>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20CB6687" w:rsidR="00EF3BE9" w:rsidRPr="0096213B" w:rsidRDefault="00E64DC2"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3529A7CE" wp14:editId="33DEC423">
                  <wp:extent cx="5342483" cy="272421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72755" cy="2739651"/>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TABLA N° 3</w:t>
      </w:r>
      <w:r w:rsidR="00354689" w:rsidRPr="000345D7">
        <w:rPr>
          <w:rFonts w:ascii="Poppins" w:hAnsi="Poppins" w:cs="Poppins"/>
          <w:i/>
          <w:sz w:val="16"/>
          <w:szCs w:val="16"/>
        </w:rPr>
        <w:t>: Diferencia entre Precios de Referencia de Combustibles vs Precios de Venta PETROPERU</w:t>
      </w:r>
    </w:p>
    <w:p w14:paraId="7BD435A3" w14:textId="69D5EF85" w:rsidR="00551F16" w:rsidRPr="0096213B" w:rsidRDefault="00C6055B"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C6055B">
        <w:drawing>
          <wp:inline distT="0" distB="0" distL="0" distR="0" wp14:anchorId="71F92E09" wp14:editId="2519D064">
            <wp:extent cx="5595583" cy="2344248"/>
            <wp:effectExtent l="0" t="0" r="571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04717" cy="2348075"/>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GRAFICA Nº</w:t>
      </w:r>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25B85584" w:rsidR="00F70B88" w:rsidRDefault="00C6055B" w:rsidP="00604758">
      <w:pPr>
        <w:spacing w:line="0" w:lineRule="atLeast"/>
        <w:ind w:right="-567"/>
        <w:jc w:val="both"/>
        <w:rPr>
          <w:rFonts w:ascii="Poppins" w:hAnsi="Poppins" w:cs="Poppins"/>
          <w:noProof/>
          <w:sz w:val="20"/>
          <w:szCs w:val="20"/>
        </w:rPr>
      </w:pPr>
      <w:r w:rsidRPr="00C6055B">
        <w:drawing>
          <wp:inline distT="0" distB="0" distL="0" distR="0" wp14:anchorId="5E844D1B" wp14:editId="1DC871AC">
            <wp:extent cx="5850255" cy="2190466"/>
            <wp:effectExtent l="0" t="0" r="0" b="63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2651" cy="2191363"/>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GRAFICA Nº</w:t>
      </w:r>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27CE9506" w:rsidR="00127A54" w:rsidRPr="0096213B" w:rsidRDefault="00712AA9" w:rsidP="006220EA">
      <w:pPr>
        <w:rPr>
          <w:rFonts w:ascii="Poppins" w:hAnsi="Poppins" w:cs="Poppins"/>
          <w:i/>
          <w:sz w:val="14"/>
          <w:szCs w:val="14"/>
        </w:rPr>
      </w:pPr>
      <w:r w:rsidRPr="00712AA9">
        <w:rPr>
          <w:noProof/>
        </w:rPr>
        <w:drawing>
          <wp:inline distT="0" distB="0" distL="0" distR="0" wp14:anchorId="1CB08643" wp14:editId="0239AD30">
            <wp:extent cx="5850255" cy="7060565"/>
            <wp:effectExtent l="0" t="0" r="0" b="698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0255" cy="706056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485C27A1" w:rsidR="005048C1" w:rsidRPr="0096213B" w:rsidRDefault="00F91202" w:rsidP="005048C1">
      <w:pPr>
        <w:jc w:val="both"/>
        <w:rPr>
          <w:rFonts w:ascii="Poppins" w:hAnsi="Poppins" w:cs="Poppins"/>
          <w:i/>
          <w:iCs/>
          <w:sz w:val="12"/>
          <w:szCs w:val="12"/>
        </w:rPr>
      </w:pPr>
      <w:r>
        <w:t xml:space="preserve">                       </w:t>
      </w:r>
      <w:r w:rsidR="00712AA9" w:rsidRPr="00712AA9">
        <w:rPr>
          <w:noProof/>
        </w:rPr>
        <w:drawing>
          <wp:inline distT="0" distB="0" distL="0" distR="0" wp14:anchorId="1BD6490C" wp14:editId="514EBAA2">
            <wp:extent cx="5850255" cy="5671820"/>
            <wp:effectExtent l="0" t="0" r="0" b="508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567182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0D7A0382" w:rsidR="00812956" w:rsidRDefault="00C6055B" w:rsidP="00842A58">
      <w:pPr>
        <w:pStyle w:val="xl37"/>
        <w:tabs>
          <w:tab w:val="left" w:pos="180"/>
        </w:tabs>
        <w:spacing w:before="0" w:beforeAutospacing="0" w:after="0" w:afterAutospacing="0"/>
        <w:jc w:val="center"/>
        <w:rPr>
          <w:noProof/>
        </w:rPr>
      </w:pPr>
      <w:r>
        <w:rPr>
          <w:noProof/>
        </w:rPr>
        <w:drawing>
          <wp:inline distT="0" distB="0" distL="0" distR="0" wp14:anchorId="545D68E6" wp14:editId="17467DB9">
            <wp:extent cx="4296031" cy="3048635"/>
            <wp:effectExtent l="0" t="0" r="952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04324" cy="3054520"/>
                    </a:xfrm>
                    <a:prstGeom prst="rect">
                      <a:avLst/>
                    </a:prstGeom>
                    <a:noFill/>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5DFBA749" w:rsidR="001307B8" w:rsidRPr="00A149FB" w:rsidRDefault="00C6055B" w:rsidP="009D455B">
      <w:pPr>
        <w:pStyle w:val="xl37"/>
        <w:tabs>
          <w:tab w:val="left" w:pos="180"/>
          <w:tab w:val="left" w:pos="1701"/>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1CF6FCF1" wp14:editId="1D83E831">
            <wp:extent cx="4299821" cy="3065355"/>
            <wp:effectExtent l="0" t="0" r="5715" b="190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26254" cy="3084199"/>
                    </a:xfrm>
                    <a:prstGeom prst="rect">
                      <a:avLst/>
                    </a:prstGeom>
                    <a:noFill/>
                  </pic:spPr>
                </pic:pic>
              </a:graphicData>
            </a:graphic>
          </wp:inline>
        </w:drawing>
      </w: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2B383E03" w:rsidR="006C0944" w:rsidRDefault="006C0944"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5D6CC208" w14:textId="4492BD61" w:rsidR="00881591" w:rsidRDefault="00881591" w:rsidP="00373E46">
      <w:pPr>
        <w:pStyle w:val="xl37"/>
        <w:tabs>
          <w:tab w:val="left" w:pos="180"/>
        </w:tabs>
        <w:spacing w:before="0" w:beforeAutospacing="0" w:after="0" w:afterAutospacing="0"/>
        <w:jc w:val="center"/>
        <w:rPr>
          <w:noProof/>
        </w:rPr>
      </w:pPr>
    </w:p>
    <w:p w14:paraId="4C780AA7" w14:textId="77777777" w:rsidR="00356BB0" w:rsidRDefault="00356BB0" w:rsidP="00373E46">
      <w:pPr>
        <w:pStyle w:val="xl37"/>
        <w:tabs>
          <w:tab w:val="left" w:pos="180"/>
        </w:tabs>
        <w:spacing w:before="0" w:beforeAutospacing="0" w:after="0" w:afterAutospacing="0"/>
        <w:jc w:val="center"/>
        <w:rPr>
          <w:noProof/>
        </w:rPr>
      </w:pPr>
    </w:p>
    <w:p w14:paraId="71F4FA4D" w14:textId="19936F0F" w:rsidR="006C0944" w:rsidRDefault="00C6055B" w:rsidP="00373E46">
      <w:pPr>
        <w:pStyle w:val="xl37"/>
        <w:tabs>
          <w:tab w:val="left" w:pos="180"/>
        </w:tabs>
        <w:spacing w:before="0" w:beforeAutospacing="0" w:after="0" w:afterAutospacing="0"/>
        <w:jc w:val="center"/>
        <w:rPr>
          <w:noProof/>
        </w:rPr>
      </w:pPr>
      <w:r>
        <w:rPr>
          <w:noProof/>
        </w:rPr>
        <w:drawing>
          <wp:inline distT="0" distB="0" distL="0" distR="0" wp14:anchorId="3A0A53A6" wp14:editId="5E72F4CF">
            <wp:extent cx="4286629" cy="300990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94538" cy="3015453"/>
                    </a:xfrm>
                    <a:prstGeom prst="rect">
                      <a:avLst/>
                    </a:prstGeom>
                    <a:noFill/>
                  </pic:spPr>
                </pic:pic>
              </a:graphicData>
            </a:graphic>
          </wp:inline>
        </w:drawing>
      </w: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79DB15D6" w:rsidR="00A62725" w:rsidRDefault="00A62725" w:rsidP="00BF0E9E">
      <w:pPr>
        <w:pStyle w:val="xl37"/>
        <w:tabs>
          <w:tab w:val="left" w:pos="180"/>
          <w:tab w:val="left" w:pos="1560"/>
          <w:tab w:val="left" w:pos="8222"/>
        </w:tabs>
        <w:spacing w:before="0" w:beforeAutospacing="0" w:after="0" w:afterAutospacing="0"/>
        <w:jc w:val="center"/>
        <w:rPr>
          <w:noProof/>
        </w:rPr>
      </w:pPr>
    </w:p>
    <w:p w14:paraId="64E19BB7" w14:textId="77777777" w:rsidR="009D455B" w:rsidRDefault="009D455B" w:rsidP="00BF0E9E">
      <w:pPr>
        <w:pStyle w:val="xl37"/>
        <w:tabs>
          <w:tab w:val="left" w:pos="180"/>
          <w:tab w:val="left" w:pos="1560"/>
          <w:tab w:val="left" w:pos="8222"/>
        </w:tabs>
        <w:spacing w:before="0" w:beforeAutospacing="0" w:after="0" w:afterAutospacing="0"/>
        <w:jc w:val="center"/>
        <w:rPr>
          <w:noProof/>
        </w:rPr>
      </w:pPr>
    </w:p>
    <w:p w14:paraId="38B2F0A8" w14:textId="25000D2E" w:rsidR="00356BB0" w:rsidRDefault="00C6055B" w:rsidP="009D455B">
      <w:pPr>
        <w:pStyle w:val="xl37"/>
        <w:tabs>
          <w:tab w:val="left" w:pos="180"/>
        </w:tabs>
        <w:spacing w:before="0" w:beforeAutospacing="0" w:after="0" w:afterAutospacing="0"/>
        <w:jc w:val="center"/>
        <w:rPr>
          <w:noProof/>
        </w:rPr>
      </w:pPr>
      <w:r>
        <w:rPr>
          <w:noProof/>
        </w:rPr>
        <w:drawing>
          <wp:inline distT="0" distB="0" distL="0" distR="0" wp14:anchorId="35130E61" wp14:editId="6F18E4E8">
            <wp:extent cx="4279668" cy="2986462"/>
            <wp:effectExtent l="0" t="0" r="6985" b="444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95324" cy="2997387"/>
                    </a:xfrm>
                    <a:prstGeom prst="rect">
                      <a:avLst/>
                    </a:prstGeom>
                    <a:noFill/>
                  </pic:spPr>
                </pic:pic>
              </a:graphicData>
            </a:graphic>
          </wp:inline>
        </w:drawing>
      </w:r>
    </w:p>
    <w:p w14:paraId="49C23B04" w14:textId="77777777" w:rsidR="00356BB0" w:rsidRDefault="00356BB0" w:rsidP="00BF0E9E">
      <w:pPr>
        <w:pStyle w:val="xl37"/>
        <w:tabs>
          <w:tab w:val="left" w:pos="180"/>
          <w:tab w:val="left" w:pos="1560"/>
          <w:tab w:val="left" w:pos="8222"/>
        </w:tabs>
        <w:spacing w:before="0" w:beforeAutospacing="0" w:after="0" w:afterAutospacing="0"/>
        <w:jc w:val="center"/>
        <w:rPr>
          <w:noProof/>
        </w:rPr>
      </w:pP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29127B7D" w:rsidR="00300FA6" w:rsidRDefault="00300FA6" w:rsidP="00373E46">
      <w:pPr>
        <w:pStyle w:val="xl37"/>
        <w:tabs>
          <w:tab w:val="left" w:pos="180"/>
        </w:tabs>
        <w:spacing w:before="0" w:beforeAutospacing="0" w:after="0" w:afterAutospacing="0"/>
        <w:jc w:val="center"/>
        <w:rPr>
          <w:noProof/>
        </w:rPr>
      </w:pPr>
    </w:p>
    <w:p w14:paraId="451830C5" w14:textId="393F0B02" w:rsidR="00C6055B" w:rsidRDefault="00C6055B" w:rsidP="00373E46">
      <w:pPr>
        <w:pStyle w:val="xl37"/>
        <w:tabs>
          <w:tab w:val="left" w:pos="180"/>
        </w:tabs>
        <w:spacing w:before="0" w:beforeAutospacing="0" w:after="0" w:afterAutospacing="0"/>
        <w:jc w:val="center"/>
        <w:rPr>
          <w:noProof/>
        </w:rPr>
      </w:pPr>
    </w:p>
    <w:p w14:paraId="42963095" w14:textId="16D28A57" w:rsidR="00C6055B" w:rsidRDefault="00C6055B" w:rsidP="00373E46">
      <w:pPr>
        <w:pStyle w:val="xl37"/>
        <w:tabs>
          <w:tab w:val="left" w:pos="180"/>
        </w:tabs>
        <w:spacing w:before="0" w:beforeAutospacing="0" w:after="0" w:afterAutospacing="0"/>
        <w:jc w:val="center"/>
        <w:rPr>
          <w:noProof/>
        </w:rPr>
      </w:pPr>
    </w:p>
    <w:p w14:paraId="2611E6A7" w14:textId="17CA4D3E" w:rsidR="00C6055B" w:rsidRDefault="00C6055B" w:rsidP="00373E46">
      <w:pPr>
        <w:pStyle w:val="xl37"/>
        <w:tabs>
          <w:tab w:val="left" w:pos="180"/>
        </w:tabs>
        <w:spacing w:before="0" w:beforeAutospacing="0" w:after="0" w:afterAutospacing="0"/>
        <w:jc w:val="center"/>
        <w:rPr>
          <w:noProof/>
        </w:rPr>
      </w:pPr>
    </w:p>
    <w:p w14:paraId="4701FC52" w14:textId="41594CFF" w:rsidR="00C6055B" w:rsidRDefault="00C6055B" w:rsidP="00373E46">
      <w:pPr>
        <w:pStyle w:val="xl37"/>
        <w:tabs>
          <w:tab w:val="left" w:pos="180"/>
        </w:tabs>
        <w:spacing w:before="0" w:beforeAutospacing="0" w:after="0" w:afterAutospacing="0"/>
        <w:jc w:val="center"/>
        <w:rPr>
          <w:noProof/>
        </w:rPr>
      </w:pPr>
    </w:p>
    <w:p w14:paraId="19EBB0E6" w14:textId="77777777" w:rsidR="00C6055B" w:rsidRDefault="00C6055B" w:rsidP="00373E46">
      <w:pPr>
        <w:pStyle w:val="xl37"/>
        <w:tabs>
          <w:tab w:val="left" w:pos="180"/>
        </w:tabs>
        <w:spacing w:before="0" w:beforeAutospacing="0" w:after="0" w:afterAutospacing="0"/>
        <w:jc w:val="center"/>
        <w:rPr>
          <w:noProof/>
        </w:rPr>
      </w:pPr>
    </w:p>
    <w:p w14:paraId="62276F35" w14:textId="01BC6A79" w:rsidR="00300FA6" w:rsidRDefault="00300FA6"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AB5F72" w:rsidP="00CA3C87">
      <w:pPr>
        <w:rPr>
          <w:rFonts w:ascii="Poppins" w:hAnsi="Poppins" w:cs="Poppins"/>
          <w:b/>
          <w:bCs/>
          <w:i/>
          <w:iCs/>
          <w:sz w:val="12"/>
          <w:szCs w:val="12"/>
        </w:rPr>
      </w:pPr>
      <w:hyperlink r:id="rId36"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7"/>
      <w:footerReference w:type="default" r:id="rId38"/>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Nirmala UI"/>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6C931E17"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497CEA">
            <w:rPr>
              <w:rFonts w:ascii="Poppins" w:hAnsi="Poppins" w:cs="Poppins"/>
              <w:b/>
              <w:sz w:val="22"/>
              <w:szCs w:val="22"/>
              <w:lang w:val="it-IT"/>
            </w:rPr>
            <w:t>1</w:t>
          </w:r>
          <w:r w:rsidR="00802DB1">
            <w:rPr>
              <w:rFonts w:ascii="Poppins" w:hAnsi="Poppins" w:cs="Poppins"/>
              <w:b/>
              <w:sz w:val="22"/>
              <w:szCs w:val="22"/>
              <w:lang w:val="it-IT"/>
            </w:rPr>
            <w:t>7</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31888553"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8E2585">
            <w:rPr>
              <w:rFonts w:ascii="Poppins" w:hAnsi="Poppins" w:cs="Poppins"/>
              <w:b/>
              <w:sz w:val="22"/>
              <w:szCs w:val="22"/>
              <w:lang w:val="it-IT"/>
            </w:rPr>
            <w:t>1</w:t>
          </w:r>
          <w:r w:rsidR="00FB11E1">
            <w:rPr>
              <w:rFonts w:ascii="Poppins" w:hAnsi="Poppins" w:cs="Poppins"/>
              <w:b/>
              <w:sz w:val="22"/>
              <w:szCs w:val="22"/>
              <w:lang w:val="it-IT"/>
            </w:rPr>
            <w:t>7</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0F7B7840"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497CEA">
            <w:rPr>
              <w:rFonts w:ascii="Poppins" w:hAnsi="Poppins" w:cs="Poppins"/>
              <w:b/>
              <w:sz w:val="22"/>
              <w:szCs w:val="22"/>
              <w:lang w:val="it-IT"/>
            </w:rPr>
            <w:t>1</w:t>
          </w:r>
          <w:r w:rsidR="00891665">
            <w:rPr>
              <w:rFonts w:ascii="Poppins" w:hAnsi="Poppins" w:cs="Poppins"/>
              <w:b/>
              <w:sz w:val="22"/>
              <w:szCs w:val="22"/>
              <w:lang w:val="it-IT"/>
            </w:rPr>
            <w:t>7</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68B9CAA4"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497CEA">
            <w:rPr>
              <w:rFonts w:ascii="Poppins" w:hAnsi="Poppins" w:cs="Poppins"/>
              <w:b/>
              <w:sz w:val="22"/>
              <w:szCs w:val="22"/>
              <w:lang w:val="it-IT"/>
            </w:rPr>
            <w:t>1</w:t>
          </w:r>
          <w:r w:rsidR="00E64DC2">
            <w:rPr>
              <w:rFonts w:ascii="Poppins" w:hAnsi="Poppins" w:cs="Poppins"/>
              <w:b/>
              <w:sz w:val="22"/>
              <w:szCs w:val="22"/>
              <w:lang w:val="it-IT"/>
            </w:rPr>
            <w:t>7</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2160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1F34"/>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0EE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648"/>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3B9E"/>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D6C"/>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4A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B0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0D"/>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535"/>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70"/>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775"/>
    <w:rsid w:val="003568F9"/>
    <w:rsid w:val="00356B94"/>
    <w:rsid w:val="00356BB0"/>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401"/>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077"/>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0F7"/>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15"/>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7EC"/>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1E4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35"/>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39D"/>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7BE"/>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AAF"/>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751"/>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A5E"/>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46"/>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AA9"/>
    <w:rsid w:val="00712CE1"/>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18"/>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0A2"/>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505"/>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46"/>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2DB1"/>
    <w:rsid w:val="0080315D"/>
    <w:rsid w:val="00803499"/>
    <w:rsid w:val="0080353B"/>
    <w:rsid w:val="008037C9"/>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6C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C8E"/>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665"/>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585"/>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B7A"/>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43"/>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A4A"/>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1E3"/>
    <w:rsid w:val="00986360"/>
    <w:rsid w:val="009868E2"/>
    <w:rsid w:val="00986A53"/>
    <w:rsid w:val="00986AB4"/>
    <w:rsid w:val="00986BAF"/>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55B"/>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152"/>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3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6B1"/>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D7A"/>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5F72"/>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871"/>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14E"/>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C7D"/>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8A2"/>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362"/>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961"/>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5B"/>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86"/>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3ED3"/>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4A1"/>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DC2"/>
    <w:rsid w:val="00E64E18"/>
    <w:rsid w:val="00E64E85"/>
    <w:rsid w:val="00E64F6B"/>
    <w:rsid w:val="00E65F9A"/>
    <w:rsid w:val="00E665A1"/>
    <w:rsid w:val="00E66B50"/>
    <w:rsid w:val="00E66B5B"/>
    <w:rsid w:val="00E66D26"/>
    <w:rsid w:val="00E66DC4"/>
    <w:rsid w:val="00E66F6B"/>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3E44"/>
    <w:rsid w:val="00E8434A"/>
    <w:rsid w:val="00E845EB"/>
    <w:rsid w:val="00E84624"/>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B7EEB"/>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1E1"/>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71F"/>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16065"/>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1.xml"/><Relationship Id="rId26" Type="http://schemas.openxmlformats.org/officeDocument/2006/relationships/image" Target="media/image10.emf"/><Relationship Id="rId39" Type="http://schemas.openxmlformats.org/officeDocument/2006/relationships/fontTable" Target="fontTable.xml"/><Relationship Id="rId21" Type="http://schemas.openxmlformats.org/officeDocument/2006/relationships/image" Target="media/image6.emf"/><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3.xml"/><Relationship Id="rId28" Type="http://schemas.openxmlformats.org/officeDocument/2006/relationships/image" Target="media/image12.emf"/><Relationship Id="rId36" Type="http://schemas.openxmlformats.org/officeDocument/2006/relationships/hyperlink" Target="https://www.osinergmin.gob.pe/seccion/centro_documental/gart/precios_referencia_banda_precios/PreciosReferencia/Informe-Tecnico-479-2021-GRT.pdf"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footer" Target="foot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docProps/app.xml><?xml version="1.0" encoding="utf-8"?>
<Properties xmlns="http://schemas.openxmlformats.org/officeDocument/2006/extended-properties" xmlns:vt="http://schemas.openxmlformats.org/officeDocument/2006/docPropsVTypes">
  <Template>Normal</Template>
  <TotalTime>232</TotalTime>
  <Pages>21</Pages>
  <Words>5475</Words>
  <Characters>30117</Characters>
  <Application>Microsoft Office Word</Application>
  <DocSecurity>0</DocSecurity>
  <Lines>250</Lines>
  <Paragraphs>71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35521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8</cp:revision>
  <cp:lastPrinted>2026-02-16T14:35:00Z</cp:lastPrinted>
  <dcterms:created xsi:type="dcterms:W3CDTF">2026-04-29T14:21:00Z</dcterms:created>
  <dcterms:modified xsi:type="dcterms:W3CDTF">2026-04-30T16:03:00Z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